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A5B11" w14:textId="56D0818D" w:rsidR="00CD0466" w:rsidRPr="00DE6898" w:rsidRDefault="00C704BF" w:rsidP="00CD0466">
      <w:pPr>
        <w:pStyle w:val="Ozna"/>
        <w:spacing w:after="0" w:line="360" w:lineRule="auto"/>
        <w:ind w:left="0" w:firstLine="0"/>
        <w:jc w:val="right"/>
        <w:rPr>
          <w:b w:val="0"/>
          <w:sz w:val="20"/>
          <w:szCs w:val="20"/>
        </w:rPr>
      </w:pPr>
      <w:r w:rsidRPr="00797A21">
        <w:rPr>
          <w:b w:val="0"/>
          <w:sz w:val="20"/>
          <w:szCs w:val="20"/>
          <w:lang w:val="en-GB"/>
        </w:rPr>
        <w:t>Annex No</w:t>
      </w:r>
      <w:r w:rsidR="00EB4544">
        <w:rPr>
          <w:b w:val="0"/>
          <w:sz w:val="20"/>
          <w:szCs w:val="20"/>
        </w:rPr>
        <w:t>.</w:t>
      </w:r>
      <w:r w:rsidR="005404AB">
        <w:rPr>
          <w:b w:val="0"/>
          <w:sz w:val="20"/>
          <w:szCs w:val="20"/>
        </w:rPr>
        <w:t xml:space="preserve"> </w:t>
      </w:r>
      <w:r w:rsidR="003E3A70">
        <w:rPr>
          <w:b w:val="0"/>
          <w:sz w:val="20"/>
          <w:szCs w:val="20"/>
        </w:rPr>
        <w:t>3</w:t>
      </w:r>
      <w:bookmarkStart w:id="0" w:name="_GoBack"/>
      <w:bookmarkEnd w:id="0"/>
    </w:p>
    <w:tbl>
      <w:tblPr>
        <w:tblW w:w="9908" w:type="dxa"/>
        <w:jc w:val="center"/>
        <w:tblLayout w:type="fixed"/>
        <w:tblCellMar>
          <w:left w:w="70" w:type="dxa"/>
          <w:right w:w="70" w:type="dxa"/>
        </w:tblCellMar>
        <w:tblLook w:val="0000" w:firstRow="0" w:lastRow="0" w:firstColumn="0" w:lastColumn="0" w:noHBand="0" w:noVBand="0"/>
      </w:tblPr>
      <w:tblGrid>
        <w:gridCol w:w="1884"/>
        <w:gridCol w:w="229"/>
        <w:gridCol w:w="1209"/>
        <w:gridCol w:w="577"/>
        <w:gridCol w:w="614"/>
        <w:gridCol w:w="1142"/>
        <w:gridCol w:w="258"/>
        <w:gridCol w:w="574"/>
        <w:gridCol w:w="1153"/>
        <w:gridCol w:w="414"/>
        <w:gridCol w:w="800"/>
        <w:gridCol w:w="1054"/>
      </w:tblGrid>
      <w:tr w:rsidR="00CD0466" w:rsidRPr="00992877" w14:paraId="73002EFE" w14:textId="77777777" w:rsidTr="00D01A1F">
        <w:trPr>
          <w:cantSplit/>
          <w:trHeight w:val="197"/>
          <w:jc w:val="center"/>
        </w:trPr>
        <w:tc>
          <w:tcPr>
            <w:tcW w:w="4513" w:type="dxa"/>
            <w:gridSpan w:val="5"/>
            <w:vMerge w:val="restart"/>
            <w:tcBorders>
              <w:top w:val="single" w:sz="12" w:space="0" w:color="auto"/>
              <w:left w:val="single" w:sz="12" w:space="0" w:color="auto"/>
              <w:right w:val="single" w:sz="4" w:space="0" w:color="auto"/>
            </w:tcBorders>
            <w:vAlign w:val="center"/>
          </w:tcPr>
          <w:p w14:paraId="14646F8C" w14:textId="77777777" w:rsidR="00CD0466" w:rsidRPr="00992877" w:rsidRDefault="00F3089F" w:rsidP="00C1595E">
            <w:pPr>
              <w:pStyle w:val="Normlntabulkov"/>
              <w:jc w:val="center"/>
              <w:rPr>
                <w:lang w:val="en-GB"/>
              </w:rPr>
            </w:pPr>
            <w:r w:rsidRPr="00992877">
              <w:rPr>
                <w:noProof/>
              </w:rPr>
              <w:drawing>
                <wp:inline distT="0" distB="0" distL="0" distR="0" wp14:anchorId="3EA54C89" wp14:editId="667608B2">
                  <wp:extent cx="1257300" cy="407539"/>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7300" cy="407539"/>
                          </a:xfrm>
                          <a:prstGeom prst="rect">
                            <a:avLst/>
                          </a:prstGeom>
                          <a:noFill/>
                          <a:ln>
                            <a:noFill/>
                          </a:ln>
                        </pic:spPr>
                      </pic:pic>
                    </a:graphicData>
                  </a:graphic>
                </wp:inline>
              </w:drawing>
            </w:r>
            <w:r w:rsidR="00CD0466" w:rsidRPr="00992877">
              <w:rPr>
                <w:lang w:val="en-GB"/>
              </w:rPr>
              <w:br w:type="page"/>
            </w:r>
            <w:r w:rsidR="00CD0466" w:rsidRPr="00992877">
              <w:rPr>
                <w:lang w:val="en-GB"/>
              </w:rPr>
              <w:br w:type="page"/>
            </w:r>
          </w:p>
        </w:tc>
        <w:tc>
          <w:tcPr>
            <w:tcW w:w="5395" w:type="dxa"/>
            <w:gridSpan w:val="7"/>
            <w:tcBorders>
              <w:top w:val="single" w:sz="12" w:space="0" w:color="auto"/>
              <w:left w:val="single" w:sz="4" w:space="0" w:color="auto"/>
              <w:bottom w:val="single" w:sz="4" w:space="0" w:color="auto"/>
              <w:right w:val="single" w:sz="12" w:space="0" w:color="auto"/>
            </w:tcBorders>
            <w:vAlign w:val="center"/>
          </w:tcPr>
          <w:p w14:paraId="6C181590" w14:textId="77777777" w:rsidR="00CD0466" w:rsidRPr="00992877" w:rsidRDefault="00C704BF" w:rsidP="00C704BF">
            <w:pPr>
              <w:pStyle w:val="Normlntabulkov"/>
              <w:jc w:val="center"/>
              <w:rPr>
                <w:b/>
                <w:bCs/>
                <w:lang w:val="en-GB"/>
              </w:rPr>
            </w:pPr>
            <w:r w:rsidRPr="00992877">
              <w:rPr>
                <w:b/>
                <w:bCs/>
                <w:lang w:val="en-GB"/>
              </w:rPr>
              <w:t>Legally binding declaration of the Bidder</w:t>
            </w:r>
          </w:p>
        </w:tc>
      </w:tr>
      <w:tr w:rsidR="00E301D8" w:rsidRPr="00992877" w14:paraId="427DEBF0" w14:textId="77777777" w:rsidTr="00D01A1F">
        <w:tblPrEx>
          <w:tblBorders>
            <w:insideH w:val="single" w:sz="6" w:space="0" w:color="auto"/>
            <w:insideV w:val="single" w:sz="6" w:space="0" w:color="auto"/>
          </w:tblBorders>
          <w:tblCellMar>
            <w:left w:w="71" w:type="dxa"/>
            <w:right w:w="71" w:type="dxa"/>
          </w:tblCellMar>
        </w:tblPrEx>
        <w:trPr>
          <w:cantSplit/>
          <w:trHeight w:val="260"/>
          <w:jc w:val="center"/>
        </w:trPr>
        <w:tc>
          <w:tcPr>
            <w:tcW w:w="4513" w:type="dxa"/>
            <w:gridSpan w:val="5"/>
            <w:vMerge/>
            <w:tcBorders>
              <w:left w:val="single" w:sz="12" w:space="0" w:color="auto"/>
              <w:bottom w:val="nil"/>
              <w:right w:val="single" w:sz="4" w:space="0" w:color="auto"/>
            </w:tcBorders>
          </w:tcPr>
          <w:p w14:paraId="6917C5E0" w14:textId="77777777" w:rsidR="00E301D8" w:rsidRPr="00992877" w:rsidRDefault="00E301D8" w:rsidP="00E301D8">
            <w:pPr>
              <w:pStyle w:val="Normlntabulkov"/>
              <w:rPr>
                <w:lang w:val="en-GB"/>
              </w:rPr>
            </w:pPr>
          </w:p>
        </w:tc>
        <w:tc>
          <w:tcPr>
            <w:tcW w:w="1142" w:type="dxa"/>
            <w:tcBorders>
              <w:top w:val="single" w:sz="4" w:space="0" w:color="auto"/>
              <w:left w:val="single" w:sz="4" w:space="0" w:color="auto"/>
              <w:bottom w:val="single" w:sz="4" w:space="0" w:color="auto"/>
              <w:right w:val="single" w:sz="4" w:space="0" w:color="auto"/>
            </w:tcBorders>
          </w:tcPr>
          <w:p w14:paraId="500F091A" w14:textId="77777777" w:rsidR="00E301D8" w:rsidRPr="00992877" w:rsidRDefault="00E301D8" w:rsidP="00C704BF">
            <w:pPr>
              <w:pStyle w:val="Normlntabulkov"/>
              <w:jc w:val="center"/>
              <w:rPr>
                <w:lang w:val="en-GB"/>
              </w:rPr>
            </w:pPr>
            <w:r w:rsidRPr="00992877">
              <w:rPr>
                <w:lang w:val="en-GB"/>
              </w:rPr>
              <w:t>Intern</w:t>
            </w:r>
            <w:r w:rsidR="00C704BF" w:rsidRPr="00992877">
              <w:rPr>
                <w:lang w:val="en-GB"/>
              </w:rPr>
              <w:t>al No.</w:t>
            </w:r>
          </w:p>
        </w:tc>
        <w:tc>
          <w:tcPr>
            <w:tcW w:w="2399" w:type="dxa"/>
            <w:gridSpan w:val="4"/>
            <w:tcBorders>
              <w:top w:val="single" w:sz="4" w:space="0" w:color="auto"/>
              <w:left w:val="single" w:sz="4" w:space="0" w:color="auto"/>
              <w:bottom w:val="single" w:sz="4" w:space="0" w:color="auto"/>
              <w:right w:val="single" w:sz="4" w:space="0" w:color="auto"/>
            </w:tcBorders>
          </w:tcPr>
          <w:p w14:paraId="6BDD0568" w14:textId="77777777" w:rsidR="00E301D8" w:rsidRPr="00992877" w:rsidRDefault="00E301D8" w:rsidP="00E301D8">
            <w:pPr>
              <w:pStyle w:val="Normlntabulkov"/>
              <w:rPr>
                <w:lang w:val="en-GB"/>
              </w:rPr>
            </w:pPr>
          </w:p>
        </w:tc>
        <w:tc>
          <w:tcPr>
            <w:tcW w:w="800" w:type="dxa"/>
            <w:tcBorders>
              <w:top w:val="single" w:sz="4" w:space="0" w:color="auto"/>
              <w:left w:val="single" w:sz="4" w:space="0" w:color="auto"/>
              <w:bottom w:val="single" w:sz="4" w:space="0" w:color="auto"/>
              <w:right w:val="single" w:sz="4" w:space="0" w:color="auto"/>
            </w:tcBorders>
          </w:tcPr>
          <w:p w14:paraId="19255441" w14:textId="77777777" w:rsidR="00E301D8" w:rsidRPr="00992877" w:rsidRDefault="00C704BF" w:rsidP="00C704BF">
            <w:pPr>
              <w:pStyle w:val="Normlntabulkov"/>
              <w:jc w:val="center"/>
              <w:rPr>
                <w:lang w:val="en-GB"/>
              </w:rPr>
            </w:pPr>
            <w:r w:rsidRPr="00992877">
              <w:rPr>
                <w:lang w:val="en-GB"/>
              </w:rPr>
              <w:t>Page</w:t>
            </w:r>
          </w:p>
        </w:tc>
        <w:tc>
          <w:tcPr>
            <w:tcW w:w="1054" w:type="dxa"/>
            <w:tcBorders>
              <w:top w:val="single" w:sz="4" w:space="0" w:color="auto"/>
              <w:left w:val="single" w:sz="4" w:space="0" w:color="auto"/>
              <w:bottom w:val="single" w:sz="4" w:space="0" w:color="auto"/>
              <w:right w:val="single" w:sz="12" w:space="0" w:color="auto"/>
            </w:tcBorders>
          </w:tcPr>
          <w:p w14:paraId="481E03A0" w14:textId="77777777" w:rsidR="00E301D8" w:rsidRPr="00992877" w:rsidRDefault="00E301D8" w:rsidP="00E301D8">
            <w:pPr>
              <w:pStyle w:val="Normlntabulkov"/>
              <w:jc w:val="center"/>
              <w:rPr>
                <w:lang w:val="en-GB"/>
              </w:rPr>
            </w:pPr>
            <w:r w:rsidRPr="00992877">
              <w:rPr>
                <w:lang w:val="en-GB"/>
              </w:rPr>
              <w:t>1/1</w:t>
            </w:r>
          </w:p>
        </w:tc>
      </w:tr>
      <w:tr w:rsidR="00CD0466" w:rsidRPr="00992877" w14:paraId="3C06C463" w14:textId="77777777" w:rsidTr="00D01A1F">
        <w:trPr>
          <w:cantSplit/>
          <w:trHeight w:val="240"/>
          <w:jc w:val="center"/>
        </w:trPr>
        <w:tc>
          <w:tcPr>
            <w:tcW w:w="9908" w:type="dxa"/>
            <w:gridSpan w:val="12"/>
            <w:tcBorders>
              <w:top w:val="single" w:sz="12" w:space="0" w:color="auto"/>
              <w:left w:val="single" w:sz="12" w:space="0" w:color="auto"/>
              <w:bottom w:val="single" w:sz="6" w:space="0" w:color="auto"/>
              <w:right w:val="single" w:sz="12" w:space="0" w:color="auto"/>
            </w:tcBorders>
          </w:tcPr>
          <w:p w14:paraId="73D135B8" w14:textId="77777777" w:rsidR="00CD0466" w:rsidRPr="00992877" w:rsidRDefault="00C704BF" w:rsidP="00C704BF">
            <w:pPr>
              <w:pStyle w:val="Normlntabulkov"/>
              <w:jc w:val="center"/>
              <w:rPr>
                <w:b/>
                <w:lang w:val="en-GB"/>
              </w:rPr>
            </w:pPr>
            <w:r w:rsidRPr="00992877">
              <w:rPr>
                <w:b/>
                <w:lang w:val="en-GB"/>
              </w:rPr>
              <w:t>Contract s</w:t>
            </w:r>
            <w:r w:rsidR="00CD0466" w:rsidRPr="00992877">
              <w:rPr>
                <w:b/>
                <w:lang w:val="en-GB"/>
              </w:rPr>
              <w:t>pecifi</w:t>
            </w:r>
            <w:r w:rsidRPr="00992877">
              <w:rPr>
                <w:b/>
                <w:lang w:val="en-GB"/>
              </w:rPr>
              <w:t xml:space="preserve">cation </w:t>
            </w:r>
          </w:p>
        </w:tc>
      </w:tr>
      <w:tr w:rsidR="00CD0466" w:rsidRPr="00992877" w14:paraId="591C193D" w14:textId="77777777" w:rsidTr="00D01A1F">
        <w:trPr>
          <w:cantSplit/>
          <w:trHeight w:val="240"/>
          <w:jc w:val="center"/>
        </w:trPr>
        <w:tc>
          <w:tcPr>
            <w:tcW w:w="2113" w:type="dxa"/>
            <w:gridSpan w:val="2"/>
            <w:tcBorders>
              <w:top w:val="single" w:sz="6" w:space="0" w:color="auto"/>
              <w:left w:val="single" w:sz="12" w:space="0" w:color="auto"/>
              <w:bottom w:val="nil"/>
              <w:right w:val="single" w:sz="6" w:space="0" w:color="auto"/>
            </w:tcBorders>
            <w:shd w:val="clear" w:color="auto" w:fill="D9D9D9"/>
          </w:tcPr>
          <w:p w14:paraId="6AA8DD35" w14:textId="77777777" w:rsidR="00CD0466" w:rsidRPr="00992877" w:rsidRDefault="00C704BF" w:rsidP="00C704BF">
            <w:pPr>
              <w:pStyle w:val="Normlntabulkov"/>
              <w:jc w:val="center"/>
              <w:rPr>
                <w:lang w:val="en-GB"/>
              </w:rPr>
            </w:pPr>
            <w:r w:rsidRPr="00992877">
              <w:rPr>
                <w:lang w:val="en-GB"/>
              </w:rPr>
              <w:t>Contract reg. no.</w:t>
            </w:r>
            <w:r w:rsidR="00CD0466" w:rsidRPr="00992877">
              <w:rPr>
                <w:lang w:val="en-GB"/>
              </w:rPr>
              <w:t>:</w:t>
            </w:r>
          </w:p>
        </w:tc>
        <w:tc>
          <w:tcPr>
            <w:tcW w:w="7795" w:type="dxa"/>
            <w:gridSpan w:val="10"/>
            <w:tcBorders>
              <w:top w:val="single" w:sz="6" w:space="0" w:color="auto"/>
              <w:left w:val="single" w:sz="6" w:space="0" w:color="auto"/>
              <w:bottom w:val="nil"/>
              <w:right w:val="single" w:sz="12" w:space="0" w:color="auto"/>
            </w:tcBorders>
            <w:shd w:val="clear" w:color="auto" w:fill="D9D9D9"/>
          </w:tcPr>
          <w:p w14:paraId="6B3B32E3" w14:textId="77777777" w:rsidR="00CD0466" w:rsidRPr="00992877" w:rsidRDefault="00C704BF" w:rsidP="00C704BF">
            <w:pPr>
              <w:pStyle w:val="Normlntabulkov"/>
              <w:jc w:val="center"/>
              <w:rPr>
                <w:lang w:val="en-GB"/>
              </w:rPr>
            </w:pPr>
            <w:r w:rsidRPr="00992877">
              <w:rPr>
                <w:lang w:val="en-GB"/>
              </w:rPr>
              <w:t>Title</w:t>
            </w:r>
            <w:r w:rsidR="00CD0466" w:rsidRPr="00992877">
              <w:rPr>
                <w:lang w:val="en-GB"/>
              </w:rPr>
              <w:t>:</w:t>
            </w:r>
          </w:p>
        </w:tc>
      </w:tr>
      <w:tr w:rsidR="00CD0466" w:rsidRPr="00992877" w14:paraId="52258CD7" w14:textId="77777777" w:rsidTr="00D01A1F">
        <w:trPr>
          <w:cantSplit/>
          <w:trHeight w:val="240"/>
          <w:jc w:val="center"/>
        </w:trPr>
        <w:tc>
          <w:tcPr>
            <w:tcW w:w="2113" w:type="dxa"/>
            <w:gridSpan w:val="2"/>
            <w:tcBorders>
              <w:top w:val="single" w:sz="6" w:space="0" w:color="auto"/>
              <w:left w:val="single" w:sz="12" w:space="0" w:color="auto"/>
              <w:bottom w:val="nil"/>
              <w:right w:val="single" w:sz="6" w:space="0" w:color="auto"/>
            </w:tcBorders>
          </w:tcPr>
          <w:p w14:paraId="26010CDB" w14:textId="48F7732A" w:rsidR="00CD0466" w:rsidRPr="00992877" w:rsidRDefault="00007D92" w:rsidP="008956FE">
            <w:pPr>
              <w:pStyle w:val="Normlntabulkov"/>
              <w:rPr>
                <w:lang w:val="en-GB"/>
              </w:rPr>
            </w:pPr>
            <w:r w:rsidRPr="00007D92">
              <w:rPr>
                <w:lang w:val="en-GB"/>
              </w:rPr>
              <w:t>1000575058</w:t>
            </w:r>
          </w:p>
        </w:tc>
        <w:tc>
          <w:tcPr>
            <w:tcW w:w="7795" w:type="dxa"/>
            <w:gridSpan w:val="10"/>
            <w:tcBorders>
              <w:top w:val="single" w:sz="6" w:space="0" w:color="auto"/>
              <w:left w:val="single" w:sz="6" w:space="0" w:color="auto"/>
              <w:bottom w:val="nil"/>
              <w:right w:val="single" w:sz="12" w:space="0" w:color="auto"/>
            </w:tcBorders>
          </w:tcPr>
          <w:p w14:paraId="11570348" w14:textId="0F5B5991" w:rsidR="00CD0466" w:rsidRPr="00992877" w:rsidRDefault="00007D92" w:rsidP="008956FE">
            <w:pPr>
              <w:pStyle w:val="Normlntabulkov"/>
              <w:jc w:val="center"/>
              <w:rPr>
                <w:b/>
                <w:lang w:val="en-GB"/>
              </w:rPr>
            </w:pPr>
            <w:r w:rsidRPr="00007D92">
              <w:rPr>
                <w:b/>
                <w:lang w:val="en-GB"/>
              </w:rPr>
              <w:t>Study for SRU troubleshooting</w:t>
            </w:r>
          </w:p>
        </w:tc>
      </w:tr>
      <w:tr w:rsidR="00CD0466" w:rsidRPr="00992877" w14:paraId="5654D570" w14:textId="77777777" w:rsidTr="00D01A1F">
        <w:trPr>
          <w:cantSplit/>
          <w:trHeight w:val="240"/>
          <w:jc w:val="center"/>
        </w:trPr>
        <w:tc>
          <w:tcPr>
            <w:tcW w:w="9908" w:type="dxa"/>
            <w:gridSpan w:val="12"/>
            <w:tcBorders>
              <w:top w:val="single" w:sz="12" w:space="0" w:color="auto"/>
              <w:left w:val="single" w:sz="12" w:space="0" w:color="auto"/>
              <w:bottom w:val="single" w:sz="6" w:space="0" w:color="auto"/>
              <w:right w:val="single" w:sz="12" w:space="0" w:color="auto"/>
            </w:tcBorders>
          </w:tcPr>
          <w:p w14:paraId="0598E9FA" w14:textId="77777777" w:rsidR="00CD0466" w:rsidRPr="00992877" w:rsidRDefault="00C704BF" w:rsidP="00C704BF">
            <w:pPr>
              <w:pStyle w:val="Normlntabulkov"/>
              <w:jc w:val="center"/>
              <w:rPr>
                <w:lang w:val="en-GB"/>
              </w:rPr>
            </w:pPr>
            <w:r w:rsidRPr="00992877">
              <w:rPr>
                <w:lang w:val="en-GB"/>
              </w:rPr>
              <w:t>Bidder</w:t>
            </w:r>
          </w:p>
        </w:tc>
      </w:tr>
      <w:tr w:rsidR="00CD0466" w:rsidRPr="00992877" w14:paraId="09FE1C02" w14:textId="77777777" w:rsidTr="00D01A1F">
        <w:trPr>
          <w:cantSplit/>
          <w:trHeight w:val="240"/>
          <w:jc w:val="center"/>
        </w:trPr>
        <w:tc>
          <w:tcPr>
            <w:tcW w:w="3322" w:type="dxa"/>
            <w:gridSpan w:val="3"/>
            <w:tcBorders>
              <w:top w:val="nil"/>
              <w:left w:val="single" w:sz="12" w:space="0" w:color="auto"/>
              <w:bottom w:val="single" w:sz="6" w:space="0" w:color="auto"/>
              <w:right w:val="single" w:sz="6" w:space="0" w:color="auto"/>
            </w:tcBorders>
            <w:shd w:val="clear" w:color="auto" w:fill="D9D9D9"/>
          </w:tcPr>
          <w:p w14:paraId="0F8D1DAE" w14:textId="77777777" w:rsidR="00CD0466" w:rsidRPr="00992877" w:rsidRDefault="00C704BF" w:rsidP="00C704BF">
            <w:pPr>
              <w:pStyle w:val="Normlntabulkov"/>
              <w:jc w:val="center"/>
              <w:rPr>
                <w:lang w:val="en-GB"/>
              </w:rPr>
            </w:pPr>
            <w:r w:rsidRPr="00992877">
              <w:rPr>
                <w:lang w:val="en-GB"/>
              </w:rPr>
              <w:t>Trade name</w:t>
            </w:r>
            <w:r w:rsidR="00CD0466" w:rsidRPr="00992877">
              <w:rPr>
                <w:lang w:val="en-GB"/>
              </w:rPr>
              <w:t xml:space="preserve">, </w:t>
            </w:r>
            <w:r w:rsidRPr="00992877">
              <w:rPr>
                <w:lang w:val="en-GB"/>
              </w:rPr>
              <w:t>company ID</w:t>
            </w:r>
            <w:r w:rsidR="00CD0466" w:rsidRPr="00992877">
              <w:rPr>
                <w:lang w:val="en-GB"/>
              </w:rPr>
              <w:t>:</w:t>
            </w:r>
          </w:p>
        </w:tc>
        <w:tc>
          <w:tcPr>
            <w:tcW w:w="3165" w:type="dxa"/>
            <w:gridSpan w:val="5"/>
            <w:tcBorders>
              <w:top w:val="nil"/>
              <w:left w:val="single" w:sz="6" w:space="0" w:color="auto"/>
              <w:bottom w:val="single" w:sz="6" w:space="0" w:color="auto"/>
              <w:right w:val="single" w:sz="6" w:space="0" w:color="auto"/>
            </w:tcBorders>
            <w:shd w:val="clear" w:color="auto" w:fill="D9D9D9"/>
          </w:tcPr>
          <w:p w14:paraId="33B85695" w14:textId="77777777" w:rsidR="00CD0466" w:rsidRPr="00992877" w:rsidRDefault="00C704BF" w:rsidP="00C704BF">
            <w:pPr>
              <w:pStyle w:val="Normlntabulkov"/>
              <w:jc w:val="center"/>
              <w:rPr>
                <w:lang w:val="en-GB"/>
              </w:rPr>
            </w:pPr>
            <w:r w:rsidRPr="00992877">
              <w:rPr>
                <w:lang w:val="en-GB"/>
              </w:rPr>
              <w:t>Registered office</w:t>
            </w:r>
            <w:r w:rsidR="00CD0466" w:rsidRPr="00992877">
              <w:rPr>
                <w:lang w:val="en-GB"/>
              </w:rPr>
              <w:t>:</w:t>
            </w:r>
          </w:p>
        </w:tc>
        <w:tc>
          <w:tcPr>
            <w:tcW w:w="3421" w:type="dxa"/>
            <w:gridSpan w:val="4"/>
            <w:tcBorders>
              <w:top w:val="nil"/>
              <w:left w:val="single" w:sz="6" w:space="0" w:color="auto"/>
              <w:bottom w:val="single" w:sz="6" w:space="0" w:color="auto"/>
              <w:right w:val="single" w:sz="12" w:space="0" w:color="auto"/>
            </w:tcBorders>
            <w:shd w:val="clear" w:color="auto" w:fill="D9D9D9"/>
          </w:tcPr>
          <w:p w14:paraId="41DE58B6" w14:textId="77777777" w:rsidR="00CD0466" w:rsidRPr="00992877" w:rsidRDefault="00C704BF" w:rsidP="00C704BF">
            <w:pPr>
              <w:pStyle w:val="Normlntabulkov"/>
              <w:jc w:val="center"/>
              <w:rPr>
                <w:lang w:val="en-GB"/>
              </w:rPr>
            </w:pPr>
            <w:r w:rsidRPr="00992877">
              <w:rPr>
                <w:lang w:val="en-GB"/>
              </w:rPr>
              <w:t>Statutory body</w:t>
            </w:r>
            <w:r w:rsidR="00CD0466" w:rsidRPr="00992877">
              <w:rPr>
                <w:lang w:val="en-GB"/>
              </w:rPr>
              <w:t>:</w:t>
            </w:r>
          </w:p>
        </w:tc>
      </w:tr>
      <w:tr w:rsidR="00CD0466" w:rsidRPr="00992877" w14:paraId="5B79BE83" w14:textId="77777777" w:rsidTr="00D01A1F">
        <w:trPr>
          <w:cantSplit/>
          <w:trHeight w:val="240"/>
          <w:jc w:val="center"/>
        </w:trPr>
        <w:tc>
          <w:tcPr>
            <w:tcW w:w="3322" w:type="dxa"/>
            <w:gridSpan w:val="3"/>
            <w:tcBorders>
              <w:top w:val="single" w:sz="6" w:space="0" w:color="auto"/>
              <w:left w:val="single" w:sz="12" w:space="0" w:color="auto"/>
              <w:bottom w:val="nil"/>
              <w:right w:val="single" w:sz="6" w:space="0" w:color="auto"/>
            </w:tcBorders>
          </w:tcPr>
          <w:p w14:paraId="74851CB0" w14:textId="77777777" w:rsidR="00CD0466" w:rsidRPr="00992877" w:rsidRDefault="00CD0466" w:rsidP="008956FE">
            <w:pPr>
              <w:pStyle w:val="Normlntabulkov"/>
            </w:pPr>
          </w:p>
        </w:tc>
        <w:tc>
          <w:tcPr>
            <w:tcW w:w="3165" w:type="dxa"/>
            <w:gridSpan w:val="5"/>
            <w:tcBorders>
              <w:top w:val="single" w:sz="6" w:space="0" w:color="auto"/>
              <w:left w:val="single" w:sz="6" w:space="0" w:color="auto"/>
              <w:bottom w:val="nil"/>
              <w:right w:val="single" w:sz="6" w:space="0" w:color="auto"/>
            </w:tcBorders>
          </w:tcPr>
          <w:p w14:paraId="31AA9356" w14:textId="77777777" w:rsidR="00CD0466" w:rsidRPr="00992877" w:rsidRDefault="00CD0466" w:rsidP="008956FE">
            <w:pPr>
              <w:pStyle w:val="Normlntabulkov"/>
            </w:pPr>
          </w:p>
        </w:tc>
        <w:tc>
          <w:tcPr>
            <w:tcW w:w="3421" w:type="dxa"/>
            <w:gridSpan w:val="4"/>
            <w:tcBorders>
              <w:top w:val="single" w:sz="6" w:space="0" w:color="auto"/>
              <w:left w:val="single" w:sz="6" w:space="0" w:color="auto"/>
              <w:bottom w:val="nil"/>
              <w:right w:val="single" w:sz="12" w:space="0" w:color="auto"/>
            </w:tcBorders>
          </w:tcPr>
          <w:p w14:paraId="77E30668" w14:textId="77777777" w:rsidR="00CD0466" w:rsidRPr="00992877" w:rsidRDefault="00CD0466" w:rsidP="008956FE">
            <w:pPr>
              <w:pStyle w:val="Normlntabulkov"/>
            </w:pPr>
          </w:p>
        </w:tc>
      </w:tr>
      <w:tr w:rsidR="00CD0466" w:rsidRPr="00992877" w14:paraId="41160775" w14:textId="77777777" w:rsidTr="00D01A1F">
        <w:trPr>
          <w:cantSplit/>
          <w:trHeight w:val="151"/>
          <w:jc w:val="center"/>
        </w:trPr>
        <w:tc>
          <w:tcPr>
            <w:tcW w:w="9908" w:type="dxa"/>
            <w:gridSpan w:val="12"/>
            <w:tcBorders>
              <w:top w:val="single" w:sz="12" w:space="0" w:color="auto"/>
              <w:left w:val="single" w:sz="12" w:space="0" w:color="auto"/>
              <w:bottom w:val="single" w:sz="6" w:space="0" w:color="auto"/>
              <w:right w:val="single" w:sz="12" w:space="0" w:color="auto"/>
            </w:tcBorders>
          </w:tcPr>
          <w:p w14:paraId="688E95CF" w14:textId="77777777" w:rsidR="00CD0466" w:rsidRPr="00992877" w:rsidRDefault="00C704BF" w:rsidP="00C704BF">
            <w:pPr>
              <w:pStyle w:val="Normlntabulkov"/>
              <w:jc w:val="center"/>
              <w:rPr>
                <w:b/>
                <w:lang w:val="en-GB"/>
              </w:rPr>
            </w:pPr>
            <w:r w:rsidRPr="00992877">
              <w:rPr>
                <w:b/>
                <w:lang w:val="en-GB"/>
              </w:rPr>
              <w:t>Declaration of the Bidder</w:t>
            </w:r>
          </w:p>
        </w:tc>
      </w:tr>
      <w:tr w:rsidR="00CD0466" w:rsidRPr="00992877" w14:paraId="79ACB602" w14:textId="77777777" w:rsidTr="00D01A1F">
        <w:trPr>
          <w:cantSplit/>
          <w:trHeight w:val="240"/>
          <w:jc w:val="center"/>
        </w:trPr>
        <w:tc>
          <w:tcPr>
            <w:tcW w:w="9908" w:type="dxa"/>
            <w:gridSpan w:val="12"/>
            <w:tcBorders>
              <w:top w:val="nil"/>
              <w:left w:val="single" w:sz="12" w:space="0" w:color="auto"/>
              <w:bottom w:val="nil"/>
              <w:right w:val="single" w:sz="12" w:space="0" w:color="auto"/>
            </w:tcBorders>
          </w:tcPr>
          <w:p w14:paraId="0528E481" w14:textId="77777777" w:rsidR="00CD0466" w:rsidRPr="00992877" w:rsidRDefault="00CF0DBF" w:rsidP="0023520D">
            <w:pPr>
              <w:pStyle w:val="Normlntabulkov"/>
              <w:spacing w:after="0"/>
              <w:jc w:val="both"/>
              <w:rPr>
                <w:lang w:val="en-GB"/>
              </w:rPr>
            </w:pPr>
            <w:r w:rsidRPr="00992877">
              <w:rPr>
                <w:lang w:val="en-GB"/>
              </w:rPr>
              <w:t xml:space="preserve">We hereby confirm, that we expressly agree to all terms and conditions </w:t>
            </w:r>
            <w:r w:rsidR="00797A21" w:rsidRPr="00992877">
              <w:rPr>
                <w:lang w:val="en-GB"/>
              </w:rPr>
              <w:t xml:space="preserve">of the tender announced by </w:t>
            </w:r>
            <w:r w:rsidR="002E7411" w:rsidRPr="00992877">
              <w:rPr>
                <w:lang w:val="en-GB"/>
              </w:rPr>
              <w:t>ORLEN Unipetrol RPA s.r.o.</w:t>
            </w:r>
            <w:r w:rsidR="00DE6898" w:rsidRPr="00992877">
              <w:rPr>
                <w:lang w:val="en-GB"/>
              </w:rPr>
              <w:t xml:space="preserve"> (</w:t>
            </w:r>
            <w:r w:rsidR="000B7DFB" w:rsidRPr="00992877">
              <w:rPr>
                <w:lang w:val="en-GB"/>
              </w:rPr>
              <w:t>hereinafter the Client</w:t>
            </w:r>
            <w:r w:rsidR="00DE6898" w:rsidRPr="00992877">
              <w:rPr>
                <w:lang w:val="en-GB"/>
              </w:rPr>
              <w:t xml:space="preserve">) </w:t>
            </w:r>
            <w:r w:rsidR="00797A21" w:rsidRPr="00992877">
              <w:rPr>
                <w:lang w:val="en-GB"/>
              </w:rPr>
              <w:t xml:space="preserve">for awarding the abovementioned contract and we hereby </w:t>
            </w:r>
            <w:r w:rsidR="00797A21" w:rsidRPr="00992877">
              <w:rPr>
                <w:b/>
                <w:bCs/>
                <w:lang w:val="en-GB"/>
              </w:rPr>
              <w:t>declare</w:t>
            </w:r>
            <w:r w:rsidR="00CD0466" w:rsidRPr="00992877">
              <w:rPr>
                <w:lang w:val="en-GB"/>
              </w:rPr>
              <w:t>,</w:t>
            </w:r>
            <w:r w:rsidR="00797A21" w:rsidRPr="00992877">
              <w:rPr>
                <w:lang w:val="en-GB"/>
              </w:rPr>
              <w:t xml:space="preserve"> that</w:t>
            </w:r>
            <w:r w:rsidR="00CD0466" w:rsidRPr="00992877">
              <w:rPr>
                <w:lang w:val="en-GB"/>
              </w:rPr>
              <w:t>:</w:t>
            </w:r>
          </w:p>
          <w:p w14:paraId="0CD2E9E8" w14:textId="77777777" w:rsidR="0050341F" w:rsidRPr="00992877" w:rsidRDefault="00797A21" w:rsidP="0023520D">
            <w:pPr>
              <w:pStyle w:val="Normlntabulkov"/>
              <w:numPr>
                <w:ilvl w:val="0"/>
                <w:numId w:val="1"/>
              </w:numPr>
              <w:spacing w:after="0"/>
              <w:jc w:val="both"/>
              <w:rPr>
                <w:lang w:val="en-GB"/>
              </w:rPr>
            </w:pPr>
            <w:r w:rsidRPr="00992877">
              <w:rPr>
                <w:lang w:val="en-GB"/>
              </w:rPr>
              <w:t xml:space="preserve">we accept the tender terms and conditions as submitted by the Client and we have been informed about the local conditions </w:t>
            </w:r>
          </w:p>
          <w:p w14:paraId="12640FDF" w14:textId="77777777" w:rsidR="000B4514" w:rsidRPr="00992877" w:rsidRDefault="00797A21" w:rsidP="0023520D">
            <w:pPr>
              <w:pStyle w:val="Normlntabulkov"/>
              <w:numPr>
                <w:ilvl w:val="0"/>
                <w:numId w:val="1"/>
              </w:numPr>
              <w:spacing w:after="0"/>
              <w:jc w:val="both"/>
              <w:rPr>
                <w:lang w:val="en-GB"/>
              </w:rPr>
            </w:pPr>
            <w:r w:rsidRPr="00992877">
              <w:rPr>
                <w:lang w:val="en-GB"/>
              </w:rPr>
              <w:t>our company holds all valid documents in compliance with the Trade Licensing Act and possesses all certific</w:t>
            </w:r>
            <w:r w:rsidR="000B7DFB" w:rsidRPr="00992877">
              <w:rPr>
                <w:lang w:val="en-GB"/>
              </w:rPr>
              <w:t>ations and authorizations related</w:t>
            </w:r>
            <w:r w:rsidRPr="00992877">
              <w:rPr>
                <w:lang w:val="en-GB"/>
              </w:rPr>
              <w:t xml:space="preserve"> to the subject-matter of the tender</w:t>
            </w:r>
            <w:r w:rsidR="00E835F9" w:rsidRPr="00992877">
              <w:rPr>
                <w:lang w:val="en-GB"/>
              </w:rPr>
              <w:t xml:space="preserve"> (</w:t>
            </w:r>
            <w:r w:rsidR="000B7DFB" w:rsidRPr="00992877">
              <w:rPr>
                <w:i/>
                <w:lang w:val="en-GB"/>
              </w:rPr>
              <w:t xml:space="preserve">extract from the Company Register no older than </w:t>
            </w:r>
            <w:r w:rsidR="00E835F9" w:rsidRPr="00992877">
              <w:rPr>
                <w:i/>
                <w:lang w:val="en-GB"/>
              </w:rPr>
              <w:t>3 m</w:t>
            </w:r>
            <w:r w:rsidR="000B7DFB" w:rsidRPr="00992877">
              <w:rPr>
                <w:i/>
                <w:lang w:val="en-GB"/>
              </w:rPr>
              <w:t>onths</w:t>
            </w:r>
            <w:r w:rsidR="00E835F9" w:rsidRPr="00992877">
              <w:rPr>
                <w:i/>
                <w:lang w:val="en-GB"/>
              </w:rPr>
              <w:t xml:space="preserve">, </w:t>
            </w:r>
            <w:r w:rsidR="000B7DFB" w:rsidRPr="00992877">
              <w:rPr>
                <w:i/>
                <w:lang w:val="en-GB"/>
              </w:rPr>
              <w:t>extract from the Trade Licensing Register</w:t>
            </w:r>
            <w:r w:rsidR="00E835F9" w:rsidRPr="00992877">
              <w:rPr>
                <w:i/>
                <w:lang w:val="en-GB"/>
              </w:rPr>
              <w:t xml:space="preserve">, </w:t>
            </w:r>
            <w:r w:rsidR="000B7DFB" w:rsidRPr="00992877">
              <w:rPr>
                <w:i/>
                <w:lang w:val="en-GB"/>
              </w:rPr>
              <w:t>certificates, authorizations, certificates of attained level of QMS and OHS, etc.</w:t>
            </w:r>
            <w:r w:rsidR="00E835F9" w:rsidRPr="00992877">
              <w:rPr>
                <w:i/>
                <w:lang w:val="en-GB"/>
              </w:rPr>
              <w:t xml:space="preserve">), </w:t>
            </w:r>
            <w:r w:rsidR="004305B8" w:rsidRPr="00992877">
              <w:rPr>
                <w:lang w:val="en-GB"/>
              </w:rPr>
              <w:t>t</w:t>
            </w:r>
            <w:r w:rsidR="000B7DFB" w:rsidRPr="00992877">
              <w:rPr>
                <w:lang w:val="en-GB"/>
              </w:rPr>
              <w:t>hese documents are attached to the bid</w:t>
            </w:r>
            <w:r w:rsidR="00CD0466" w:rsidRPr="00992877">
              <w:rPr>
                <w:lang w:val="en-GB"/>
              </w:rPr>
              <w:t>;</w:t>
            </w:r>
          </w:p>
          <w:p w14:paraId="23C1A665" w14:textId="77777777" w:rsidR="00CD0466" w:rsidRPr="00992877" w:rsidRDefault="000B7DFB" w:rsidP="0023520D">
            <w:pPr>
              <w:pStyle w:val="Normlntabulkov"/>
              <w:numPr>
                <w:ilvl w:val="0"/>
                <w:numId w:val="1"/>
              </w:numPr>
              <w:spacing w:after="0"/>
              <w:jc w:val="both"/>
              <w:rPr>
                <w:lang w:val="en-GB"/>
              </w:rPr>
            </w:pPr>
            <w:r w:rsidRPr="00992877">
              <w:rPr>
                <w:lang w:val="en-GB"/>
              </w:rPr>
              <w:t>we shall provide the Client with documents certifying validity of professional qualifications and competences necessary for implementation of the Work</w:t>
            </w:r>
            <w:r w:rsidR="003079CE" w:rsidRPr="00992877">
              <w:rPr>
                <w:lang w:val="en-GB"/>
              </w:rPr>
              <w:t>,</w:t>
            </w:r>
            <w:r w:rsidRPr="00992877">
              <w:rPr>
                <w:lang w:val="en-GB"/>
              </w:rPr>
              <w:t xml:space="preserve"> acquired in scope of our operation and activities in a member state of the European Union</w:t>
            </w:r>
            <w:r w:rsidR="003079CE" w:rsidRPr="00992877">
              <w:rPr>
                <w:lang w:val="en-GB"/>
              </w:rPr>
              <w:t>, in the Czech Republic or we shall ensure all professional qualifications and competences required by the applicable Czech legislation through  contract with our sub-contractors</w:t>
            </w:r>
            <w:r w:rsidR="000B4514" w:rsidRPr="00992877">
              <w:rPr>
                <w:lang w:val="en-GB"/>
              </w:rPr>
              <w:t>.</w:t>
            </w:r>
            <w:r w:rsidR="00CD0466" w:rsidRPr="00992877">
              <w:rPr>
                <w:lang w:val="en-GB"/>
              </w:rPr>
              <w:t xml:space="preserve"> </w:t>
            </w:r>
          </w:p>
          <w:p w14:paraId="57193600" w14:textId="77777777" w:rsidR="00901968" w:rsidRPr="00992877" w:rsidRDefault="003079CE" w:rsidP="0023520D">
            <w:pPr>
              <w:pStyle w:val="Normlntabulkov"/>
              <w:numPr>
                <w:ilvl w:val="0"/>
                <w:numId w:val="1"/>
              </w:numPr>
              <w:spacing w:after="0"/>
              <w:jc w:val="both"/>
              <w:rPr>
                <w:lang w:val="en-GB"/>
              </w:rPr>
            </w:pPr>
            <w:r w:rsidRPr="00992877">
              <w:rPr>
                <w:lang w:val="en-GB"/>
              </w:rPr>
              <w:t>we accept the payment terms of the Client</w:t>
            </w:r>
            <w:r w:rsidR="00901968" w:rsidRPr="00992877">
              <w:rPr>
                <w:lang w:val="en-GB"/>
              </w:rPr>
              <w:t>:</w:t>
            </w:r>
          </w:p>
          <w:p w14:paraId="7D397883" w14:textId="4125040C" w:rsidR="00901968" w:rsidRPr="00992877" w:rsidRDefault="004C1BA8" w:rsidP="0023520D">
            <w:pPr>
              <w:spacing w:after="0"/>
              <w:ind w:left="851"/>
              <w:jc w:val="both"/>
              <w:rPr>
                <w:rFonts w:ascii="Arial" w:hAnsi="Arial" w:cs="Arial"/>
                <w:sz w:val="16"/>
                <w:szCs w:val="16"/>
                <w:lang w:val="en-GB"/>
              </w:rPr>
            </w:pPr>
            <w:r w:rsidRPr="00992877">
              <w:rPr>
                <w:rFonts w:ascii="Arial" w:hAnsi="Arial" w:cs="Arial"/>
                <w:sz w:val="16"/>
                <w:szCs w:val="16"/>
                <w:lang w:val="en-GB"/>
              </w:rPr>
              <w:t>-</w:t>
            </w:r>
            <w:r w:rsidR="00901968" w:rsidRPr="00992877">
              <w:rPr>
                <w:rFonts w:ascii="Arial" w:hAnsi="Arial" w:cs="Arial"/>
                <w:sz w:val="16"/>
                <w:szCs w:val="16"/>
                <w:lang w:val="en-GB"/>
              </w:rPr>
              <w:t xml:space="preserve"> </w:t>
            </w:r>
            <w:r w:rsidR="003079CE" w:rsidRPr="00992877">
              <w:rPr>
                <w:rFonts w:ascii="Arial" w:hAnsi="Arial" w:cs="Arial"/>
                <w:sz w:val="16"/>
                <w:szCs w:val="16"/>
                <w:lang w:val="en-GB"/>
              </w:rPr>
              <w:t xml:space="preserve">requested due date of </w:t>
            </w:r>
            <w:r w:rsidR="004209D4">
              <w:rPr>
                <w:rFonts w:ascii="Arial" w:hAnsi="Arial" w:cs="Arial"/>
                <w:sz w:val="16"/>
                <w:szCs w:val="16"/>
                <w:lang w:val="en-GB"/>
              </w:rPr>
              <w:t>60</w:t>
            </w:r>
            <w:r w:rsidR="00901968" w:rsidRPr="00992877">
              <w:rPr>
                <w:rFonts w:ascii="Arial" w:hAnsi="Arial" w:cs="Arial"/>
                <w:sz w:val="16"/>
                <w:szCs w:val="16"/>
                <w:lang w:val="en-GB"/>
              </w:rPr>
              <w:t xml:space="preserve"> d</w:t>
            </w:r>
            <w:r w:rsidR="003079CE" w:rsidRPr="00992877">
              <w:rPr>
                <w:rFonts w:ascii="Arial" w:hAnsi="Arial" w:cs="Arial"/>
                <w:sz w:val="16"/>
                <w:szCs w:val="16"/>
                <w:lang w:val="en-GB"/>
              </w:rPr>
              <w:t>ays from the date of invoice delivery</w:t>
            </w:r>
          </w:p>
          <w:p w14:paraId="20D1239E" w14:textId="77777777" w:rsidR="00901968" w:rsidRPr="00992877" w:rsidRDefault="004C1BA8" w:rsidP="0023520D">
            <w:pPr>
              <w:spacing w:after="0"/>
              <w:ind w:left="851"/>
              <w:jc w:val="both"/>
              <w:rPr>
                <w:rFonts w:ascii="Arial" w:hAnsi="Arial" w:cs="Arial"/>
                <w:sz w:val="16"/>
                <w:szCs w:val="16"/>
                <w:lang w:val="en-GB"/>
              </w:rPr>
            </w:pPr>
            <w:r w:rsidRPr="00992877">
              <w:rPr>
                <w:rFonts w:ascii="Arial" w:hAnsi="Arial" w:cs="Arial"/>
                <w:sz w:val="16"/>
                <w:szCs w:val="16"/>
                <w:lang w:val="en-GB"/>
              </w:rPr>
              <w:t xml:space="preserve">- </w:t>
            </w:r>
            <w:r w:rsidR="003079CE" w:rsidRPr="00992877">
              <w:rPr>
                <w:rFonts w:ascii="Arial" w:hAnsi="Arial" w:cs="Arial"/>
                <w:sz w:val="16"/>
                <w:szCs w:val="16"/>
                <w:lang w:val="en-GB"/>
              </w:rPr>
              <w:t xml:space="preserve">no advance payments provided by the Client </w:t>
            </w:r>
          </w:p>
          <w:p w14:paraId="125018C7" w14:textId="77777777" w:rsidR="00CD0466" w:rsidRPr="00992877" w:rsidRDefault="00926FEA" w:rsidP="0023520D">
            <w:pPr>
              <w:pStyle w:val="Normlntabulkov"/>
              <w:numPr>
                <w:ilvl w:val="0"/>
                <w:numId w:val="1"/>
              </w:numPr>
              <w:spacing w:after="0"/>
              <w:jc w:val="both"/>
              <w:rPr>
                <w:lang w:val="en-GB"/>
              </w:rPr>
            </w:pPr>
            <w:r w:rsidRPr="00992877">
              <w:rPr>
                <w:lang w:val="en-GB"/>
              </w:rPr>
              <w:t xml:space="preserve">we are capable of executing the subject-matter of the Work on our own </w:t>
            </w:r>
            <w:r w:rsidR="00CD0466" w:rsidRPr="00992877">
              <w:rPr>
                <w:lang w:val="en-GB"/>
              </w:rPr>
              <w:t>(</w:t>
            </w:r>
            <w:r w:rsidRPr="00992877">
              <w:rPr>
                <w:lang w:val="en-GB"/>
              </w:rPr>
              <w:t>labour force, technical equipment</w:t>
            </w:r>
            <w:r w:rsidR="00CD0466" w:rsidRPr="00992877">
              <w:rPr>
                <w:lang w:val="en-GB"/>
              </w:rPr>
              <w:t xml:space="preserve">) </w:t>
            </w:r>
            <w:r w:rsidRPr="00992877">
              <w:rPr>
                <w:lang w:val="en-GB"/>
              </w:rPr>
              <w:t>except for sub-deliveries as specified in the bid</w:t>
            </w:r>
            <w:r w:rsidR="00CD0466" w:rsidRPr="00992877">
              <w:rPr>
                <w:lang w:val="en-GB"/>
              </w:rPr>
              <w:t>;</w:t>
            </w:r>
          </w:p>
          <w:p w14:paraId="25D33C7F" w14:textId="77777777" w:rsidR="0050341F" w:rsidRPr="00992877" w:rsidRDefault="00851BB7" w:rsidP="0023520D">
            <w:pPr>
              <w:pStyle w:val="Normlntabulkov"/>
              <w:numPr>
                <w:ilvl w:val="0"/>
                <w:numId w:val="1"/>
              </w:numPr>
              <w:spacing w:after="0"/>
              <w:jc w:val="both"/>
              <w:rPr>
                <w:lang w:val="en-GB"/>
              </w:rPr>
            </w:pPr>
            <w:r w:rsidRPr="00992877">
              <w:rPr>
                <w:lang w:val="en-GB"/>
              </w:rPr>
              <w:t>the detail design, quality documents, hand-over and acceptance protocols</w:t>
            </w:r>
            <w:r w:rsidR="0050341F" w:rsidRPr="00992877">
              <w:rPr>
                <w:lang w:val="en-GB"/>
              </w:rPr>
              <w:t xml:space="preserve"> </w:t>
            </w:r>
            <w:r w:rsidRPr="00992877">
              <w:rPr>
                <w:lang w:val="en-GB"/>
              </w:rPr>
              <w:t>as well as other documents and the essentials related to the subject-matter shall be prepared in the Czech language, unless required otherwise</w:t>
            </w:r>
            <w:r w:rsidR="00D72B6E" w:rsidRPr="00992877">
              <w:rPr>
                <w:lang w:val="en-GB"/>
              </w:rPr>
              <w:t>.</w:t>
            </w:r>
          </w:p>
          <w:p w14:paraId="33C4A270" w14:textId="77777777" w:rsidR="00CD0466" w:rsidRPr="00992877" w:rsidRDefault="00851BB7" w:rsidP="0023520D">
            <w:pPr>
              <w:pStyle w:val="Normlntabulkov"/>
              <w:numPr>
                <w:ilvl w:val="0"/>
                <w:numId w:val="1"/>
              </w:numPr>
              <w:spacing w:after="0"/>
              <w:jc w:val="both"/>
              <w:rPr>
                <w:lang w:val="en-GB"/>
              </w:rPr>
            </w:pPr>
            <w:r w:rsidRPr="00992877">
              <w:rPr>
                <w:lang w:val="en-GB"/>
              </w:rPr>
              <w:t>we are capable of and prepared to execute the subject-matter within the deadline requested in the tender</w:t>
            </w:r>
            <w:r w:rsidR="00CD0466" w:rsidRPr="00992877">
              <w:rPr>
                <w:lang w:val="en-GB"/>
              </w:rPr>
              <w:t>;</w:t>
            </w:r>
          </w:p>
          <w:p w14:paraId="19987569" w14:textId="77777777" w:rsidR="00CD0466" w:rsidRPr="00992877" w:rsidRDefault="00851BB7" w:rsidP="0023520D">
            <w:pPr>
              <w:pStyle w:val="Normlntabulkov"/>
              <w:numPr>
                <w:ilvl w:val="0"/>
                <w:numId w:val="1"/>
              </w:numPr>
              <w:spacing w:after="0"/>
              <w:jc w:val="both"/>
              <w:rPr>
                <w:lang w:val="en-GB"/>
              </w:rPr>
            </w:pPr>
            <w:r w:rsidRPr="00992877">
              <w:rPr>
                <w:lang w:val="en-GB"/>
              </w:rPr>
              <w:t>we have included all costs necessary for proper and full execution of the subject-matter into the bid</w:t>
            </w:r>
            <w:r w:rsidR="00CD0466" w:rsidRPr="00992877">
              <w:rPr>
                <w:lang w:val="en-GB"/>
              </w:rPr>
              <w:t>;</w:t>
            </w:r>
            <w:r w:rsidR="00040202" w:rsidRPr="00992877">
              <w:rPr>
                <w:lang w:val="en-GB"/>
              </w:rPr>
              <w:t xml:space="preserve"> </w:t>
            </w:r>
          </w:p>
          <w:p w14:paraId="08DD0501" w14:textId="77777777" w:rsidR="00CD0466" w:rsidRPr="00992877" w:rsidRDefault="007D7485" w:rsidP="0023520D">
            <w:pPr>
              <w:pStyle w:val="Normlntabulkov"/>
              <w:numPr>
                <w:ilvl w:val="0"/>
                <w:numId w:val="1"/>
              </w:numPr>
              <w:spacing w:after="0"/>
              <w:jc w:val="both"/>
              <w:rPr>
                <w:lang w:val="en-GB"/>
              </w:rPr>
            </w:pPr>
            <w:r w:rsidRPr="00992877">
              <w:rPr>
                <w:lang w:val="en-GB"/>
              </w:rPr>
              <w:t xml:space="preserve">we </w:t>
            </w:r>
            <w:r w:rsidR="00E925DF" w:rsidRPr="00992877">
              <w:rPr>
                <w:lang w:val="en-GB"/>
              </w:rPr>
              <w:t xml:space="preserve">shall </w:t>
            </w:r>
            <w:r w:rsidRPr="00992877">
              <w:rPr>
                <w:lang w:val="en-GB"/>
              </w:rPr>
              <w:t xml:space="preserve">respect the requested </w:t>
            </w:r>
            <w:r w:rsidR="00851BB7" w:rsidRPr="00992877">
              <w:rPr>
                <w:lang w:val="en-GB"/>
              </w:rPr>
              <w:t xml:space="preserve">bid </w:t>
            </w:r>
            <w:r w:rsidRPr="00992877">
              <w:rPr>
                <w:lang w:val="en-GB"/>
              </w:rPr>
              <w:t>period (bid validity period</w:t>
            </w:r>
            <w:r w:rsidR="00CD0466" w:rsidRPr="00992877">
              <w:rPr>
                <w:lang w:val="en-GB"/>
              </w:rPr>
              <w:t xml:space="preserve">) </w:t>
            </w:r>
            <w:r w:rsidR="001554C1" w:rsidRPr="00992877">
              <w:rPr>
                <w:lang w:val="en-GB"/>
              </w:rPr>
              <w:t xml:space="preserve">: </w:t>
            </w:r>
            <w:r w:rsidR="001554C1" w:rsidRPr="00992877">
              <w:rPr>
                <w:b/>
                <w:lang w:val="en-GB"/>
              </w:rPr>
              <w:t>6 m</w:t>
            </w:r>
            <w:r w:rsidR="00851BB7" w:rsidRPr="00992877">
              <w:rPr>
                <w:b/>
                <w:lang w:val="en-GB"/>
              </w:rPr>
              <w:t xml:space="preserve">onths from the last submitted revision of the price offer </w:t>
            </w:r>
          </w:p>
          <w:p w14:paraId="2215B242" w14:textId="77777777" w:rsidR="00CD0466" w:rsidRPr="00992877" w:rsidRDefault="007D7485" w:rsidP="0023520D">
            <w:pPr>
              <w:pStyle w:val="Normlntabulkov"/>
              <w:numPr>
                <w:ilvl w:val="0"/>
                <w:numId w:val="1"/>
              </w:numPr>
              <w:spacing w:after="0"/>
              <w:jc w:val="both"/>
              <w:rPr>
                <w:lang w:val="en-GB"/>
              </w:rPr>
            </w:pPr>
            <w:r w:rsidRPr="00992877">
              <w:rPr>
                <w:lang w:val="en-GB"/>
              </w:rPr>
              <w:t>we are willing to provide additional technical and economic information for the needs of the tender</w:t>
            </w:r>
            <w:r w:rsidR="00CD0466" w:rsidRPr="00992877">
              <w:rPr>
                <w:lang w:val="en-GB"/>
              </w:rPr>
              <w:t>;</w:t>
            </w:r>
          </w:p>
          <w:p w14:paraId="35645EFA" w14:textId="77777777" w:rsidR="00CD0466" w:rsidRPr="00992877" w:rsidRDefault="007D7485" w:rsidP="0023520D">
            <w:pPr>
              <w:pStyle w:val="Normlntabulkov"/>
              <w:numPr>
                <w:ilvl w:val="0"/>
                <w:numId w:val="1"/>
              </w:numPr>
              <w:spacing w:after="0"/>
              <w:jc w:val="both"/>
              <w:rPr>
                <w:lang w:val="en-GB"/>
              </w:rPr>
            </w:pPr>
            <w:r w:rsidRPr="00992877">
              <w:rPr>
                <w:lang w:val="en-GB"/>
              </w:rPr>
              <w:t>we are fully aware that we shall bear all costs associated with our participation in the tender</w:t>
            </w:r>
            <w:r w:rsidR="00CD0466" w:rsidRPr="00992877">
              <w:rPr>
                <w:lang w:val="en-GB"/>
              </w:rPr>
              <w:t>;</w:t>
            </w:r>
          </w:p>
          <w:p w14:paraId="669C5DDB" w14:textId="77777777" w:rsidR="00CD0466" w:rsidRPr="00992877" w:rsidRDefault="00E925DF" w:rsidP="0023520D">
            <w:pPr>
              <w:pStyle w:val="Normlntabulkov"/>
              <w:numPr>
                <w:ilvl w:val="0"/>
                <w:numId w:val="1"/>
              </w:numPr>
              <w:spacing w:after="0"/>
              <w:jc w:val="both"/>
              <w:rPr>
                <w:lang w:val="en-GB"/>
              </w:rPr>
            </w:pPr>
            <w:r w:rsidRPr="00992877">
              <w:rPr>
                <w:lang w:val="en-GB"/>
              </w:rPr>
              <w:t xml:space="preserve">in case we are selected for implementation of the subject-matter based on the tender results, we shall take all steps </w:t>
            </w:r>
            <w:r w:rsidR="00C66260" w:rsidRPr="00992877">
              <w:rPr>
                <w:lang w:val="en-GB"/>
              </w:rPr>
              <w:t>leading to implementation of the project without undue delay upon request of the Client´s representative</w:t>
            </w:r>
            <w:r w:rsidR="00CD0466" w:rsidRPr="00992877">
              <w:rPr>
                <w:lang w:val="en-GB"/>
              </w:rPr>
              <w:t xml:space="preserve">, </w:t>
            </w:r>
            <w:r w:rsidR="00C66260" w:rsidRPr="00992877">
              <w:rPr>
                <w:lang w:val="en-GB"/>
              </w:rPr>
              <w:t xml:space="preserve">in particular conclusion of the respective Contract for Work with </w:t>
            </w:r>
            <w:r w:rsidR="002E7411" w:rsidRPr="00992877">
              <w:rPr>
                <w:lang w:val="en-GB"/>
              </w:rPr>
              <w:t>ORLEN Unipetrol RPA s.r.o.</w:t>
            </w:r>
            <w:r w:rsidR="00C66260" w:rsidRPr="00992877">
              <w:rPr>
                <w:lang w:val="en-GB"/>
              </w:rPr>
              <w:t xml:space="preserve"> residing at:</w:t>
            </w:r>
            <w:r w:rsidR="00CD0466" w:rsidRPr="00992877">
              <w:rPr>
                <w:lang w:val="en-GB"/>
              </w:rPr>
              <w:t xml:space="preserve"> Litvínov, Záluží 1, </w:t>
            </w:r>
            <w:r w:rsidR="00C66260" w:rsidRPr="00992877">
              <w:rPr>
                <w:lang w:val="en-GB"/>
              </w:rPr>
              <w:t>postal code</w:t>
            </w:r>
            <w:r w:rsidR="00CD0466" w:rsidRPr="00992877">
              <w:rPr>
                <w:lang w:val="en-GB"/>
              </w:rPr>
              <w:t xml:space="preserve"> 436 70, </w:t>
            </w:r>
            <w:r w:rsidR="00C66260" w:rsidRPr="00992877">
              <w:rPr>
                <w:lang w:val="en-GB"/>
              </w:rPr>
              <w:t>company ID</w:t>
            </w:r>
            <w:r w:rsidR="00CD0466" w:rsidRPr="00992877">
              <w:rPr>
                <w:lang w:val="en-GB"/>
              </w:rPr>
              <w:t xml:space="preserve">: 275 97 075, </w:t>
            </w:r>
            <w:r w:rsidR="00C66260" w:rsidRPr="00992877">
              <w:rPr>
                <w:lang w:val="en-GB"/>
              </w:rPr>
              <w:t xml:space="preserve">registered in the Company Register maintained with the Regional Court in </w:t>
            </w:r>
            <w:r w:rsidR="00CD0466" w:rsidRPr="00992877">
              <w:rPr>
                <w:lang w:val="en-GB"/>
              </w:rPr>
              <w:t xml:space="preserve">Ústí nad Labem, </w:t>
            </w:r>
            <w:r w:rsidR="00C66260" w:rsidRPr="00992877">
              <w:rPr>
                <w:lang w:val="en-GB"/>
              </w:rPr>
              <w:t>Section</w:t>
            </w:r>
            <w:r w:rsidR="00CD0466" w:rsidRPr="00992877">
              <w:rPr>
                <w:lang w:val="en-GB"/>
              </w:rPr>
              <w:t xml:space="preserve"> C, </w:t>
            </w:r>
            <w:r w:rsidR="00C66260" w:rsidRPr="00992877">
              <w:rPr>
                <w:lang w:val="en-GB"/>
              </w:rPr>
              <w:t>Insert</w:t>
            </w:r>
            <w:r w:rsidR="00CD0466" w:rsidRPr="00992877">
              <w:rPr>
                <w:lang w:val="en-GB"/>
              </w:rPr>
              <w:t xml:space="preserve"> 24430 (</w:t>
            </w:r>
            <w:r w:rsidR="00C66260" w:rsidRPr="00992877">
              <w:rPr>
                <w:lang w:val="en-GB"/>
              </w:rPr>
              <w:t xml:space="preserve">hereinafter the </w:t>
            </w:r>
            <w:r w:rsidR="00CD0466" w:rsidRPr="00992877">
              <w:rPr>
                <w:lang w:val="en-GB"/>
              </w:rPr>
              <w:t>“</w:t>
            </w:r>
            <w:r w:rsidR="00C66260" w:rsidRPr="00992877">
              <w:rPr>
                <w:lang w:val="en-GB"/>
              </w:rPr>
              <w:t xml:space="preserve">Client“), in compliance with the bid we </w:t>
            </w:r>
            <w:r w:rsidR="00237848" w:rsidRPr="00992877">
              <w:rPr>
                <w:lang w:val="en-GB"/>
              </w:rPr>
              <w:t>have submitted</w:t>
            </w:r>
            <w:r w:rsidR="00C66260" w:rsidRPr="00992877">
              <w:rPr>
                <w:lang w:val="en-GB"/>
              </w:rPr>
              <w:t xml:space="preserve"> in scope of the tender and based on which we have been selected and subsequently requested to implement the subject-matter of the contract</w:t>
            </w:r>
            <w:r w:rsidR="00CD0466" w:rsidRPr="00992877">
              <w:rPr>
                <w:lang w:val="en-GB"/>
              </w:rPr>
              <w:t xml:space="preserve">; </w:t>
            </w:r>
          </w:p>
          <w:p w14:paraId="17C98DE0" w14:textId="77777777" w:rsidR="00CD0466" w:rsidRPr="00992877" w:rsidRDefault="00237848" w:rsidP="0023520D">
            <w:pPr>
              <w:pStyle w:val="Normlntabulkov"/>
              <w:numPr>
                <w:ilvl w:val="0"/>
                <w:numId w:val="1"/>
              </w:numPr>
              <w:spacing w:after="0"/>
              <w:jc w:val="both"/>
              <w:rPr>
                <w:lang w:val="en-GB"/>
              </w:rPr>
            </w:pPr>
            <w:r w:rsidRPr="00992877">
              <w:rPr>
                <w:lang w:val="en-GB"/>
              </w:rPr>
              <w:t>if requested by the Client, we shall commence execution of the subject-matter even before conclusion of the respective contract for work/order</w:t>
            </w:r>
            <w:r w:rsidR="005F624C" w:rsidRPr="00992877">
              <w:rPr>
                <w:lang w:val="en-GB"/>
              </w:rPr>
              <w:t xml:space="preserve"> based on the </w:t>
            </w:r>
            <w:r w:rsidR="00CD0466" w:rsidRPr="00992877">
              <w:rPr>
                <w:lang w:val="en-GB"/>
              </w:rPr>
              <w:t>Letter of Intent</w:t>
            </w:r>
            <w:r w:rsidR="009F7EF0" w:rsidRPr="00992877">
              <w:rPr>
                <w:lang w:val="en-GB"/>
              </w:rPr>
              <w:t xml:space="preserve"> </w:t>
            </w:r>
            <w:r w:rsidR="004C1BA8" w:rsidRPr="00992877">
              <w:rPr>
                <w:lang w:val="en-GB"/>
              </w:rPr>
              <w:t>(LoI</w:t>
            </w:r>
            <w:r w:rsidR="009F7EF0" w:rsidRPr="00992877">
              <w:rPr>
                <w:lang w:val="en-GB"/>
              </w:rPr>
              <w:t>)</w:t>
            </w:r>
            <w:r w:rsidR="005F624C" w:rsidRPr="00992877">
              <w:rPr>
                <w:lang w:val="en-GB"/>
              </w:rPr>
              <w:t xml:space="preserve"> issued by the Client </w:t>
            </w:r>
            <w:r w:rsidR="00CD0466" w:rsidRPr="00992877">
              <w:rPr>
                <w:lang w:val="en-GB"/>
              </w:rPr>
              <w:t>,</w:t>
            </w:r>
            <w:r w:rsidR="005F624C" w:rsidRPr="00992877">
              <w:rPr>
                <w:lang w:val="en-GB"/>
              </w:rPr>
              <w:t>which we shall send back to the Client signed by the persons authorized within 7 days after receipt</w:t>
            </w:r>
            <w:r w:rsidR="000D0B29" w:rsidRPr="00992877">
              <w:rPr>
                <w:lang w:val="en-GB"/>
              </w:rPr>
              <w:t>,</w:t>
            </w:r>
            <w:r w:rsidR="005F624C" w:rsidRPr="00992877">
              <w:rPr>
                <w:lang w:val="en-GB"/>
              </w:rPr>
              <w:t xml:space="preserve"> either by post or e-mail</w:t>
            </w:r>
            <w:r w:rsidR="00092572" w:rsidRPr="00992877">
              <w:rPr>
                <w:lang w:val="en-GB"/>
              </w:rPr>
              <w:t>,</w:t>
            </w:r>
            <w:r w:rsidR="00CD0466" w:rsidRPr="00992877">
              <w:rPr>
                <w:lang w:val="en-GB"/>
              </w:rPr>
              <w:t xml:space="preserve"> </w:t>
            </w:r>
            <w:r w:rsidR="005F624C" w:rsidRPr="00992877">
              <w:rPr>
                <w:lang w:val="en-GB"/>
              </w:rPr>
              <w:t>in compliance with the bid we have submitted in scope of the tender and based on which we have been selected and subsequently requested to implement the contract</w:t>
            </w:r>
            <w:r w:rsidR="00092572" w:rsidRPr="00992877">
              <w:rPr>
                <w:lang w:val="en-GB"/>
              </w:rPr>
              <w:t xml:space="preserve">. </w:t>
            </w:r>
            <w:r w:rsidR="005F624C" w:rsidRPr="00992877">
              <w:rPr>
                <w:lang w:val="en-GB"/>
              </w:rPr>
              <w:t>In case the</w:t>
            </w:r>
            <w:r w:rsidR="00092572" w:rsidRPr="00992877">
              <w:rPr>
                <w:lang w:val="en-GB"/>
              </w:rPr>
              <w:t xml:space="preserve"> Letter of Intent </w:t>
            </w:r>
            <w:r w:rsidR="005F624C" w:rsidRPr="00992877">
              <w:rPr>
                <w:lang w:val="en-GB"/>
              </w:rPr>
              <w:t xml:space="preserve">is not sent to the Client within </w:t>
            </w:r>
            <w:r w:rsidR="00092572" w:rsidRPr="00992877">
              <w:rPr>
                <w:lang w:val="en-GB"/>
              </w:rPr>
              <w:t>7 d</w:t>
            </w:r>
            <w:r w:rsidR="005F624C" w:rsidRPr="00992877">
              <w:rPr>
                <w:lang w:val="en-GB"/>
              </w:rPr>
              <w:t>ays</w:t>
            </w:r>
            <w:r w:rsidR="00092572" w:rsidRPr="00992877">
              <w:rPr>
                <w:lang w:val="en-GB"/>
              </w:rPr>
              <w:t xml:space="preserve">, </w:t>
            </w:r>
            <w:r w:rsidR="005F624C" w:rsidRPr="00992877">
              <w:rPr>
                <w:lang w:val="en-GB"/>
              </w:rPr>
              <w:t>it shall become invalid</w:t>
            </w:r>
            <w:r w:rsidR="004C1BA8" w:rsidRPr="00992877">
              <w:rPr>
                <w:lang w:val="en-GB"/>
              </w:rPr>
              <w:t xml:space="preserve">. </w:t>
            </w:r>
            <w:r w:rsidR="005F624C" w:rsidRPr="00992877">
              <w:rPr>
                <w:lang w:val="en-GB"/>
              </w:rPr>
              <w:t>By signing the Letter of Intent, the Bid shall be automatically extended by the period for signing the Contract for Work, as specified in the LoI</w:t>
            </w:r>
            <w:r w:rsidR="004C1BA8" w:rsidRPr="00992877">
              <w:rPr>
                <w:lang w:val="en-GB"/>
              </w:rPr>
              <w:t>.</w:t>
            </w:r>
          </w:p>
          <w:p w14:paraId="2A5492C2" w14:textId="77777777" w:rsidR="00CD0466" w:rsidRPr="00992877" w:rsidRDefault="007D7485" w:rsidP="0023520D">
            <w:pPr>
              <w:pStyle w:val="Normlntabulkov"/>
              <w:numPr>
                <w:ilvl w:val="0"/>
                <w:numId w:val="1"/>
              </w:numPr>
              <w:spacing w:after="0"/>
              <w:jc w:val="both"/>
              <w:rPr>
                <w:lang w:val="en-GB"/>
              </w:rPr>
            </w:pPr>
            <w:r w:rsidRPr="00992877">
              <w:rPr>
                <w:lang w:val="en-GB"/>
              </w:rPr>
              <w:t>we shall settle the abovementioned facts in points</w:t>
            </w:r>
            <w:r w:rsidR="00CD0466" w:rsidRPr="00992877">
              <w:rPr>
                <w:lang w:val="en-GB"/>
              </w:rPr>
              <w:t xml:space="preserve"> </w:t>
            </w:r>
            <w:r w:rsidR="00F73C6F" w:rsidRPr="00992877">
              <w:rPr>
                <w:lang w:val="en-GB"/>
              </w:rPr>
              <w:t>1</w:t>
            </w:r>
            <w:r w:rsidR="002429D6" w:rsidRPr="00992877">
              <w:rPr>
                <w:lang w:val="en-GB"/>
              </w:rPr>
              <w:t>2</w:t>
            </w:r>
            <w:r w:rsidRPr="00992877">
              <w:rPr>
                <w:lang w:val="en-GB"/>
              </w:rPr>
              <w:t xml:space="preserve">.and </w:t>
            </w:r>
            <w:r w:rsidR="00F73C6F" w:rsidRPr="00992877">
              <w:rPr>
                <w:lang w:val="en-GB"/>
              </w:rPr>
              <w:t>1</w:t>
            </w:r>
            <w:r w:rsidR="002429D6" w:rsidRPr="00992877">
              <w:rPr>
                <w:lang w:val="en-GB"/>
              </w:rPr>
              <w:t>3</w:t>
            </w:r>
            <w:r w:rsidR="00CD0466" w:rsidRPr="00992877">
              <w:rPr>
                <w:lang w:val="en-GB"/>
              </w:rPr>
              <w:t xml:space="preserve">. </w:t>
            </w:r>
            <w:r w:rsidRPr="00992877">
              <w:rPr>
                <w:lang w:val="en-GB"/>
              </w:rPr>
              <w:t xml:space="preserve">by signing the respective contract for work/order that shall replace the issued </w:t>
            </w:r>
            <w:r w:rsidR="00CD0466" w:rsidRPr="00992877">
              <w:rPr>
                <w:lang w:val="en-GB"/>
              </w:rPr>
              <w:t>Letter of Intent;</w:t>
            </w:r>
          </w:p>
          <w:p w14:paraId="098EE1CA" w14:textId="77777777" w:rsidR="00CD0466" w:rsidRPr="00992877" w:rsidRDefault="00F670C5" w:rsidP="0023520D">
            <w:pPr>
              <w:pStyle w:val="Normlntabulkov"/>
              <w:numPr>
                <w:ilvl w:val="0"/>
                <w:numId w:val="1"/>
              </w:numPr>
              <w:spacing w:after="0"/>
              <w:jc w:val="both"/>
              <w:rPr>
                <w:lang w:val="en-GB"/>
              </w:rPr>
            </w:pPr>
            <w:r w:rsidRPr="00992877">
              <w:rPr>
                <w:lang w:val="en-GB"/>
              </w:rPr>
              <w:t>in case of failure to comply with the abovementioned obligations on our side</w:t>
            </w:r>
            <w:r w:rsidR="00CD0466" w:rsidRPr="00992877">
              <w:rPr>
                <w:lang w:val="en-GB"/>
              </w:rPr>
              <w:t xml:space="preserve">, </w:t>
            </w:r>
            <w:r w:rsidRPr="00992877">
              <w:rPr>
                <w:lang w:val="en-GB"/>
              </w:rPr>
              <w:t>i.e. non-a</w:t>
            </w:r>
            <w:r w:rsidR="00EE5178" w:rsidRPr="00992877">
              <w:rPr>
                <w:lang w:val="en-GB"/>
              </w:rPr>
              <w:t>cceptance/non-conclusion of the</w:t>
            </w:r>
            <w:r w:rsidR="000D0B29" w:rsidRPr="00992877">
              <w:rPr>
                <w:lang w:val="en-GB"/>
              </w:rPr>
              <w:t xml:space="preserve"> Letter of Intent </w:t>
            </w:r>
            <w:r w:rsidRPr="00992877">
              <w:rPr>
                <w:lang w:val="en-GB"/>
              </w:rPr>
              <w:t xml:space="preserve">within the period stipulated in point </w:t>
            </w:r>
            <w:r w:rsidR="00092572" w:rsidRPr="00992877">
              <w:rPr>
                <w:lang w:val="en-GB"/>
              </w:rPr>
              <w:t>1</w:t>
            </w:r>
            <w:r w:rsidR="002429D6" w:rsidRPr="00992877">
              <w:rPr>
                <w:lang w:val="en-GB"/>
              </w:rPr>
              <w:t>3</w:t>
            </w:r>
            <w:r w:rsidR="00092572" w:rsidRPr="00992877">
              <w:rPr>
                <w:lang w:val="en-GB"/>
              </w:rPr>
              <w:t xml:space="preserve"> </w:t>
            </w:r>
            <w:r w:rsidR="000D0B29" w:rsidRPr="00992877">
              <w:rPr>
                <w:lang w:val="en-GB"/>
              </w:rPr>
              <w:t>a</w:t>
            </w:r>
            <w:r w:rsidRPr="00992877">
              <w:rPr>
                <w:lang w:val="en-GB"/>
              </w:rPr>
              <w:t>nd/or non-conclusion of the respective contract for work/order within ten days from receipt</w:t>
            </w:r>
            <w:r w:rsidR="00CD0466" w:rsidRPr="00992877">
              <w:rPr>
                <w:lang w:val="en-GB"/>
              </w:rPr>
              <w:t>,</w:t>
            </w:r>
            <w:r w:rsidRPr="00992877">
              <w:rPr>
                <w:lang w:val="en-GB"/>
              </w:rPr>
              <w:t xml:space="preserve"> we shall pay one-off penalty in the amount of </w:t>
            </w:r>
            <w:r w:rsidR="00CD0466" w:rsidRPr="00992877">
              <w:rPr>
                <w:lang w:val="en-GB"/>
              </w:rPr>
              <w:t xml:space="preserve">10% </w:t>
            </w:r>
            <w:r w:rsidRPr="00992877">
              <w:rPr>
                <w:lang w:val="en-GB"/>
              </w:rPr>
              <w:t>of the price for the subject-matter of the Work requested by us</w:t>
            </w:r>
            <w:r w:rsidR="00CD0466" w:rsidRPr="00992877">
              <w:rPr>
                <w:lang w:val="en-GB"/>
              </w:rPr>
              <w:t xml:space="preserve">. </w:t>
            </w:r>
            <w:r w:rsidR="00946208" w:rsidRPr="00992877">
              <w:rPr>
                <w:lang w:val="en-GB"/>
              </w:rPr>
              <w:t>The price without VAT shall be considered the base for calculation of the penalty</w:t>
            </w:r>
            <w:r w:rsidR="00CD0466" w:rsidRPr="00992877">
              <w:rPr>
                <w:lang w:val="en-GB"/>
              </w:rPr>
              <w:t>. T</w:t>
            </w:r>
            <w:r w:rsidR="00946208" w:rsidRPr="00992877">
              <w:rPr>
                <w:lang w:val="en-GB"/>
              </w:rPr>
              <w:t>his penalty shall be paid based upon a penalty invoice issued by the Client with a 30 day due date from the date the penalty invoice is delivered</w:t>
            </w:r>
            <w:r w:rsidR="00CD0466" w:rsidRPr="00992877">
              <w:rPr>
                <w:lang w:val="en-GB"/>
              </w:rPr>
              <w:t xml:space="preserve">. </w:t>
            </w:r>
            <w:r w:rsidR="00946208" w:rsidRPr="00992877">
              <w:rPr>
                <w:lang w:val="en-GB"/>
              </w:rPr>
              <w:t>Claim for indemnification shall not be affected</w:t>
            </w:r>
            <w:r w:rsidR="00CD0466" w:rsidRPr="00992877">
              <w:rPr>
                <w:lang w:val="en-GB"/>
              </w:rPr>
              <w:t>;</w:t>
            </w:r>
          </w:p>
          <w:p w14:paraId="4978B688" w14:textId="77777777" w:rsidR="00CD0466" w:rsidRPr="00992877" w:rsidRDefault="00946208" w:rsidP="0023520D">
            <w:pPr>
              <w:pStyle w:val="Normlntabulkov"/>
              <w:numPr>
                <w:ilvl w:val="0"/>
                <w:numId w:val="1"/>
              </w:numPr>
              <w:spacing w:after="0"/>
              <w:jc w:val="both"/>
              <w:rPr>
                <w:rStyle w:val="quote1"/>
                <w:lang w:val="en-GB"/>
              </w:rPr>
            </w:pPr>
            <w:r w:rsidRPr="00992877">
              <w:rPr>
                <w:lang w:val="en-GB"/>
              </w:rPr>
              <w:t>any defaults in connection with the abovementioned provisions of points</w:t>
            </w:r>
            <w:r w:rsidR="00BF7D97" w:rsidRPr="00992877">
              <w:rPr>
                <w:lang w:val="en-GB"/>
              </w:rPr>
              <w:t xml:space="preserve"> </w:t>
            </w:r>
            <w:r w:rsidR="00CD0466" w:rsidRPr="00992877">
              <w:rPr>
                <w:lang w:val="en-GB"/>
              </w:rPr>
              <w:t>1</w:t>
            </w:r>
            <w:r w:rsidR="002429D6" w:rsidRPr="00992877">
              <w:rPr>
                <w:lang w:val="en-GB"/>
              </w:rPr>
              <w:t>2</w:t>
            </w:r>
            <w:r w:rsidR="00BF7D97" w:rsidRPr="00992877">
              <w:rPr>
                <w:lang w:val="en-GB"/>
              </w:rPr>
              <w:t>, 1</w:t>
            </w:r>
            <w:r w:rsidR="002429D6" w:rsidRPr="00992877">
              <w:rPr>
                <w:lang w:val="en-GB"/>
              </w:rPr>
              <w:t>3</w:t>
            </w:r>
            <w:r w:rsidR="00BF7D97" w:rsidRPr="00992877">
              <w:rPr>
                <w:lang w:val="en-GB"/>
              </w:rPr>
              <w:t>, 1</w:t>
            </w:r>
            <w:r w:rsidR="002429D6" w:rsidRPr="00992877">
              <w:rPr>
                <w:lang w:val="en-GB"/>
              </w:rPr>
              <w:t>4</w:t>
            </w:r>
            <w:r w:rsidR="00BF7D97" w:rsidRPr="00992877">
              <w:rPr>
                <w:lang w:val="en-GB"/>
              </w:rPr>
              <w:t xml:space="preserve"> a</w:t>
            </w:r>
            <w:r w:rsidRPr="00992877">
              <w:rPr>
                <w:lang w:val="en-GB"/>
              </w:rPr>
              <w:t>nd</w:t>
            </w:r>
            <w:r w:rsidR="00BF7D97" w:rsidRPr="00992877">
              <w:rPr>
                <w:lang w:val="en-GB"/>
              </w:rPr>
              <w:t xml:space="preserve"> 1</w:t>
            </w:r>
            <w:r w:rsidR="002429D6" w:rsidRPr="00992877">
              <w:rPr>
                <w:lang w:val="en-GB"/>
              </w:rPr>
              <w:t>5</w:t>
            </w:r>
            <w:r w:rsidR="00CD0466" w:rsidRPr="00992877">
              <w:rPr>
                <w:lang w:val="en-GB"/>
              </w:rPr>
              <w:t xml:space="preserve"> </w:t>
            </w:r>
            <w:r w:rsidRPr="00992877">
              <w:rPr>
                <w:lang w:val="en-GB"/>
              </w:rPr>
              <w:t xml:space="preserve">shall not be considered as failure to comply with the obligations or as a reason for imposing the penalty on us, in case such delay or failure to comply with the obligations is caused by circumstances excluding the liability within the meaning of the Section </w:t>
            </w:r>
            <w:r w:rsidRPr="00992877">
              <w:rPr>
                <w:color w:val="000000"/>
                <w:lang w:val="en-GB"/>
              </w:rPr>
              <w:t>2913 art</w:t>
            </w:r>
            <w:r w:rsidR="00CD0466" w:rsidRPr="00992877">
              <w:rPr>
                <w:color w:val="000000"/>
                <w:lang w:val="en-GB"/>
              </w:rPr>
              <w:t xml:space="preserve">. 2 </w:t>
            </w:r>
            <w:r w:rsidRPr="00992877">
              <w:rPr>
                <w:color w:val="000000"/>
                <w:lang w:val="en-GB"/>
              </w:rPr>
              <w:t>of the Act No</w:t>
            </w:r>
            <w:r w:rsidR="00CD0466" w:rsidRPr="00992877">
              <w:rPr>
                <w:rStyle w:val="quote1"/>
                <w:lang w:val="en-GB"/>
              </w:rPr>
              <w:t xml:space="preserve">. 89/2012 </w:t>
            </w:r>
            <w:r w:rsidRPr="00992877">
              <w:rPr>
                <w:rStyle w:val="quote1"/>
                <w:lang w:val="en-GB"/>
              </w:rPr>
              <w:t>Coll</w:t>
            </w:r>
            <w:r w:rsidR="00CD0466" w:rsidRPr="00992877">
              <w:rPr>
                <w:rStyle w:val="quote1"/>
                <w:lang w:val="en-GB"/>
              </w:rPr>
              <w:t xml:space="preserve">., </w:t>
            </w:r>
            <w:r w:rsidRPr="00992877">
              <w:rPr>
                <w:rStyle w:val="quote1"/>
                <w:lang w:val="en-GB"/>
              </w:rPr>
              <w:t>civil Code, as amended</w:t>
            </w:r>
            <w:r w:rsidR="00CD0466" w:rsidRPr="00992877">
              <w:rPr>
                <w:rStyle w:val="quote1"/>
                <w:lang w:val="en-GB"/>
              </w:rPr>
              <w:t>.</w:t>
            </w:r>
          </w:p>
          <w:p w14:paraId="36FF696E" w14:textId="77777777" w:rsidR="00CD0466" w:rsidRPr="00992877" w:rsidRDefault="00946208" w:rsidP="0023520D">
            <w:pPr>
              <w:pStyle w:val="Normlntabulkov"/>
              <w:jc w:val="both"/>
              <w:rPr>
                <w:lang w:val="en-GB"/>
              </w:rPr>
            </w:pPr>
            <w:r w:rsidRPr="00992877">
              <w:rPr>
                <w:lang w:val="en-GB"/>
              </w:rPr>
              <w:t>Our obligation resulting from the abovementioned points shall cease to be valid on the day the validity of the bid submitted in scope of the respective tender expires</w:t>
            </w:r>
            <w:r w:rsidR="00CD0466" w:rsidRPr="00992877">
              <w:rPr>
                <w:lang w:val="en-GB"/>
              </w:rPr>
              <w:t>.</w:t>
            </w:r>
          </w:p>
          <w:p w14:paraId="7F7C7B9F" w14:textId="77777777" w:rsidR="00C1595E" w:rsidRPr="00992877" w:rsidRDefault="00691136" w:rsidP="0023520D">
            <w:pPr>
              <w:pStyle w:val="Normlntabulkov"/>
              <w:jc w:val="both"/>
              <w:rPr>
                <w:lang w:val="en-GB"/>
              </w:rPr>
            </w:pPr>
            <w:r w:rsidRPr="00992877">
              <w:rPr>
                <w:lang w:val="en-GB"/>
              </w:rPr>
              <w:t xml:space="preserve">For the purpose of selecting the contractor of this contract, the Client processes personal data included in the bid </w:t>
            </w:r>
            <w:r w:rsidR="00DE6898" w:rsidRPr="00992877">
              <w:rPr>
                <w:lang w:val="en-GB"/>
              </w:rPr>
              <w:t>(</w:t>
            </w:r>
            <w:r w:rsidRPr="00992877">
              <w:rPr>
                <w:lang w:val="en-GB"/>
              </w:rPr>
              <w:t>contact details</w:t>
            </w:r>
            <w:r w:rsidR="00DE6898" w:rsidRPr="00992877">
              <w:rPr>
                <w:lang w:val="en-GB"/>
              </w:rPr>
              <w:t xml:space="preserve">) </w:t>
            </w:r>
            <w:r w:rsidRPr="00992877">
              <w:rPr>
                <w:lang w:val="en-GB"/>
              </w:rPr>
              <w:t xml:space="preserve">or personal data of the Bidder´s employees that have been collected in relation to execution of the tender process </w:t>
            </w:r>
            <w:r w:rsidR="00DE6898" w:rsidRPr="00992877">
              <w:rPr>
                <w:lang w:val="en-GB"/>
              </w:rPr>
              <w:t xml:space="preserve">a </w:t>
            </w:r>
            <w:r w:rsidRPr="00992877">
              <w:rPr>
                <w:lang w:val="en-GB"/>
              </w:rPr>
              <w:t xml:space="preserve">processed in compliance with the General Data Protection Regulation </w:t>
            </w:r>
            <w:r w:rsidR="00DE6898" w:rsidRPr="00992877">
              <w:rPr>
                <w:lang w:val="en-GB"/>
              </w:rPr>
              <w:t>(EU) 2016/679 a</w:t>
            </w:r>
            <w:r w:rsidRPr="00992877">
              <w:rPr>
                <w:lang w:val="en-GB"/>
              </w:rPr>
              <w:t>nd other related or implementing regulations in the field of personal data protection</w:t>
            </w:r>
            <w:r w:rsidR="00DE6898" w:rsidRPr="00992877">
              <w:rPr>
                <w:lang w:val="en-GB"/>
              </w:rPr>
              <w:t xml:space="preserve">. </w:t>
            </w:r>
            <w:r w:rsidRPr="00992877">
              <w:rPr>
                <w:lang w:val="en-GB"/>
              </w:rPr>
              <w:t>The Client shall process and archive the personal data provided by the Bidder in scope of the tender process for the maximum period of the bid validity and subsequently for the period of 5 years</w:t>
            </w:r>
            <w:r w:rsidR="00DE6898" w:rsidRPr="00992877">
              <w:rPr>
                <w:lang w:val="en-GB"/>
              </w:rPr>
              <w:t xml:space="preserve">. </w:t>
            </w:r>
            <w:r w:rsidRPr="00992877">
              <w:rPr>
                <w:lang w:val="en-GB"/>
              </w:rPr>
              <w:t>The Bidder´s employees, as data subjects, shall exercise all rights against their employer</w:t>
            </w:r>
            <w:r w:rsidR="00DE6898" w:rsidRPr="00992877">
              <w:rPr>
                <w:lang w:val="en-GB"/>
              </w:rPr>
              <w:t xml:space="preserve"> – </w:t>
            </w:r>
            <w:r w:rsidRPr="00992877">
              <w:rPr>
                <w:lang w:val="en-GB"/>
              </w:rPr>
              <w:t>the Bidder</w:t>
            </w:r>
            <w:r w:rsidR="00DE6898" w:rsidRPr="00992877">
              <w:rPr>
                <w:lang w:val="en-GB"/>
              </w:rPr>
              <w:t>.</w:t>
            </w:r>
          </w:p>
          <w:p w14:paraId="659F7AB8" w14:textId="77777777" w:rsidR="00C1595E" w:rsidRPr="00992877" w:rsidRDefault="00C1595E" w:rsidP="0023520D">
            <w:pPr>
              <w:jc w:val="both"/>
              <w:rPr>
                <w:rFonts w:ascii="Arial" w:hAnsi="Arial" w:cs="Arial"/>
                <w:b/>
                <w:sz w:val="16"/>
                <w:szCs w:val="16"/>
                <w:lang w:val="en-GB"/>
              </w:rPr>
            </w:pPr>
            <w:r w:rsidRPr="00992877">
              <w:rPr>
                <w:rFonts w:ascii="Arial" w:hAnsi="Arial" w:cs="Arial"/>
                <w:b/>
                <w:sz w:val="16"/>
                <w:szCs w:val="16"/>
              </w:rPr>
              <w:t>A</w:t>
            </w:r>
            <w:r w:rsidRPr="00992877">
              <w:rPr>
                <w:rFonts w:ascii="Arial" w:hAnsi="Arial" w:cs="Arial"/>
                <w:b/>
                <w:sz w:val="16"/>
                <w:szCs w:val="16"/>
                <w:lang w:val="en-GB"/>
              </w:rPr>
              <w:t>/*</w:t>
            </w:r>
            <w:r w:rsidRPr="00992877">
              <w:rPr>
                <w:rFonts w:ascii="Arial" w:hAnsi="Arial" w:cs="Arial"/>
                <w:b/>
                <w:sz w:val="16"/>
                <w:szCs w:val="16"/>
                <w:lang w:val="en-GB"/>
              </w:rPr>
              <w:tab/>
            </w:r>
            <w:r w:rsidR="00153236" w:rsidRPr="00992877">
              <w:rPr>
                <w:rFonts w:ascii="Arial" w:hAnsi="Arial" w:cs="Arial"/>
                <w:b/>
                <w:sz w:val="16"/>
                <w:szCs w:val="16"/>
                <w:lang w:val="en-GB"/>
              </w:rPr>
              <w:t xml:space="preserve">We agree to all terms </w:t>
            </w:r>
            <w:r w:rsidR="00E925DF" w:rsidRPr="00992877">
              <w:rPr>
                <w:rFonts w:ascii="Arial" w:hAnsi="Arial" w:cs="Arial"/>
                <w:b/>
                <w:sz w:val="16"/>
                <w:szCs w:val="16"/>
                <w:lang w:val="en-GB"/>
              </w:rPr>
              <w:t>a</w:t>
            </w:r>
            <w:r w:rsidR="00CF0DBF" w:rsidRPr="00992877">
              <w:rPr>
                <w:rFonts w:ascii="Arial" w:hAnsi="Arial" w:cs="Arial"/>
                <w:b/>
                <w:sz w:val="16"/>
                <w:szCs w:val="16"/>
                <w:lang w:val="en-GB"/>
              </w:rPr>
              <w:t xml:space="preserve">nd conditions </w:t>
            </w:r>
            <w:r w:rsidR="00153236" w:rsidRPr="00992877">
              <w:rPr>
                <w:rFonts w:ascii="Arial" w:hAnsi="Arial" w:cs="Arial"/>
                <w:b/>
                <w:sz w:val="16"/>
                <w:szCs w:val="16"/>
                <w:lang w:val="en-GB"/>
              </w:rPr>
              <w:t>of this tender, including the draft of the contract, WITHOUT ANY COMMENTS</w:t>
            </w:r>
            <w:r w:rsidRPr="00992877">
              <w:rPr>
                <w:rFonts w:ascii="Arial" w:hAnsi="Arial" w:cs="Arial"/>
                <w:b/>
                <w:sz w:val="16"/>
                <w:szCs w:val="16"/>
                <w:lang w:val="en-GB"/>
              </w:rPr>
              <w:t>.</w:t>
            </w:r>
          </w:p>
          <w:p w14:paraId="3233DDB4" w14:textId="77777777" w:rsidR="00C1595E" w:rsidRPr="00992877" w:rsidRDefault="00C1595E" w:rsidP="0023520D">
            <w:pPr>
              <w:jc w:val="both"/>
              <w:rPr>
                <w:rFonts w:ascii="Arial" w:hAnsi="Arial" w:cs="Arial"/>
                <w:b/>
                <w:sz w:val="16"/>
                <w:szCs w:val="16"/>
                <w:lang w:val="en-GB"/>
              </w:rPr>
            </w:pPr>
            <w:r w:rsidRPr="00992877">
              <w:rPr>
                <w:rFonts w:ascii="Arial" w:hAnsi="Arial" w:cs="Arial"/>
                <w:b/>
                <w:sz w:val="16"/>
                <w:szCs w:val="16"/>
                <w:lang w:val="en-GB"/>
              </w:rPr>
              <w:t>B/*</w:t>
            </w:r>
            <w:r w:rsidRPr="00992877">
              <w:rPr>
                <w:rFonts w:ascii="Arial" w:hAnsi="Arial" w:cs="Arial"/>
                <w:b/>
                <w:sz w:val="16"/>
                <w:szCs w:val="16"/>
                <w:lang w:val="en-GB"/>
              </w:rPr>
              <w:tab/>
            </w:r>
            <w:r w:rsidR="00CF0DBF" w:rsidRPr="00992877">
              <w:rPr>
                <w:rFonts w:ascii="Arial" w:hAnsi="Arial" w:cs="Arial"/>
                <w:b/>
                <w:sz w:val="16"/>
                <w:szCs w:val="16"/>
                <w:lang w:val="en-GB"/>
              </w:rPr>
              <w:t>We agree to all terms and conditions of this tender, including the draft of the contract, with comments. The comments are documented in the bid</w:t>
            </w:r>
            <w:r w:rsidRPr="00992877">
              <w:rPr>
                <w:rFonts w:ascii="Arial" w:hAnsi="Arial" w:cs="Arial"/>
                <w:b/>
                <w:sz w:val="16"/>
                <w:szCs w:val="16"/>
                <w:lang w:val="en-GB"/>
              </w:rPr>
              <w:t>.</w:t>
            </w:r>
          </w:p>
          <w:p w14:paraId="0ACD1BB5" w14:textId="77777777" w:rsidR="00C1595E" w:rsidRPr="00992877" w:rsidRDefault="00C1595E" w:rsidP="00CF0DBF">
            <w:pPr>
              <w:pStyle w:val="Normlntabulkov"/>
              <w:jc w:val="both"/>
            </w:pPr>
            <w:r w:rsidRPr="00992877">
              <w:rPr>
                <w:lang w:val="en-GB"/>
              </w:rPr>
              <w:t xml:space="preserve">* </w:t>
            </w:r>
            <w:r w:rsidR="00CF0DBF" w:rsidRPr="00992877">
              <w:rPr>
                <w:lang w:val="en-GB"/>
              </w:rPr>
              <w:t>delete as applicable</w:t>
            </w:r>
          </w:p>
        </w:tc>
      </w:tr>
      <w:tr w:rsidR="00CD0466" w:rsidRPr="00992877" w14:paraId="3BC7AF7C" w14:textId="77777777" w:rsidTr="00D01A1F">
        <w:trPr>
          <w:cantSplit/>
          <w:trHeight w:val="240"/>
          <w:jc w:val="center"/>
        </w:trPr>
        <w:tc>
          <w:tcPr>
            <w:tcW w:w="9908" w:type="dxa"/>
            <w:gridSpan w:val="12"/>
            <w:tcBorders>
              <w:top w:val="single" w:sz="12" w:space="0" w:color="auto"/>
              <w:left w:val="single" w:sz="12" w:space="0" w:color="auto"/>
              <w:bottom w:val="nil"/>
              <w:right w:val="single" w:sz="12" w:space="0" w:color="auto"/>
            </w:tcBorders>
          </w:tcPr>
          <w:p w14:paraId="71CF60F6" w14:textId="77777777" w:rsidR="00CD0466" w:rsidRPr="00992877" w:rsidRDefault="00153236" w:rsidP="00153236">
            <w:pPr>
              <w:pStyle w:val="Normlntabulkov"/>
              <w:jc w:val="center"/>
              <w:rPr>
                <w:lang w:val="en-GB"/>
              </w:rPr>
            </w:pPr>
            <w:r w:rsidRPr="00992877">
              <w:rPr>
                <w:lang w:val="en-GB"/>
              </w:rPr>
              <w:t xml:space="preserve">Signature of the Bidder´s statutory body </w:t>
            </w:r>
          </w:p>
        </w:tc>
      </w:tr>
      <w:tr w:rsidR="00CD0466" w:rsidRPr="00992877" w14:paraId="0CF6F1C8" w14:textId="77777777" w:rsidTr="00D01A1F">
        <w:trPr>
          <w:cantSplit/>
          <w:trHeight w:val="200"/>
          <w:jc w:val="center"/>
        </w:trPr>
        <w:tc>
          <w:tcPr>
            <w:tcW w:w="1884" w:type="dxa"/>
            <w:tcBorders>
              <w:top w:val="single" w:sz="6" w:space="0" w:color="auto"/>
              <w:left w:val="single" w:sz="12" w:space="0" w:color="auto"/>
              <w:bottom w:val="single" w:sz="6" w:space="0" w:color="auto"/>
              <w:right w:val="single" w:sz="6" w:space="0" w:color="auto"/>
            </w:tcBorders>
            <w:shd w:val="clear" w:color="auto" w:fill="D9D9D9"/>
          </w:tcPr>
          <w:p w14:paraId="76A3F419" w14:textId="77777777" w:rsidR="00CD0466" w:rsidRPr="00992877" w:rsidRDefault="00CD0466" w:rsidP="008956FE">
            <w:pPr>
              <w:pStyle w:val="Normlntabulkov"/>
              <w:rPr>
                <w:lang w:val="en-GB"/>
              </w:rPr>
            </w:pPr>
          </w:p>
        </w:tc>
        <w:tc>
          <w:tcPr>
            <w:tcW w:w="2015" w:type="dxa"/>
            <w:gridSpan w:val="3"/>
            <w:tcBorders>
              <w:top w:val="single" w:sz="6" w:space="0" w:color="auto"/>
              <w:left w:val="single" w:sz="6" w:space="0" w:color="auto"/>
              <w:bottom w:val="nil"/>
              <w:right w:val="single" w:sz="6" w:space="0" w:color="auto"/>
            </w:tcBorders>
            <w:shd w:val="clear" w:color="auto" w:fill="D9D9D9"/>
          </w:tcPr>
          <w:p w14:paraId="0AD84AF0" w14:textId="77777777" w:rsidR="00CD0466" w:rsidRPr="00992877" w:rsidRDefault="00153236" w:rsidP="00153236">
            <w:pPr>
              <w:pStyle w:val="Normlntabulkov"/>
              <w:jc w:val="center"/>
              <w:rPr>
                <w:lang w:val="en-GB"/>
              </w:rPr>
            </w:pPr>
            <w:r w:rsidRPr="00992877">
              <w:rPr>
                <w:lang w:val="en-GB"/>
              </w:rPr>
              <w:t>Name</w:t>
            </w:r>
            <w:r w:rsidR="00CD0466" w:rsidRPr="00992877">
              <w:rPr>
                <w:lang w:val="en-GB"/>
              </w:rPr>
              <w:t>:</w:t>
            </w:r>
          </w:p>
        </w:tc>
        <w:tc>
          <w:tcPr>
            <w:tcW w:w="2014" w:type="dxa"/>
            <w:gridSpan w:val="3"/>
            <w:tcBorders>
              <w:top w:val="single" w:sz="6" w:space="0" w:color="auto"/>
              <w:left w:val="single" w:sz="6" w:space="0" w:color="auto"/>
              <w:bottom w:val="nil"/>
              <w:right w:val="single" w:sz="6" w:space="0" w:color="auto"/>
            </w:tcBorders>
            <w:shd w:val="clear" w:color="auto" w:fill="D9D9D9"/>
          </w:tcPr>
          <w:p w14:paraId="26BF8360" w14:textId="77777777" w:rsidR="00CD0466" w:rsidRPr="00992877" w:rsidRDefault="00153236" w:rsidP="00153236">
            <w:pPr>
              <w:pStyle w:val="Normlntabulkov"/>
              <w:jc w:val="center"/>
              <w:rPr>
                <w:lang w:val="en-GB"/>
              </w:rPr>
            </w:pPr>
            <w:r w:rsidRPr="00992877">
              <w:rPr>
                <w:lang w:val="en-GB"/>
              </w:rPr>
              <w:t>Position</w:t>
            </w:r>
            <w:r w:rsidR="00CD0466" w:rsidRPr="00992877">
              <w:rPr>
                <w:lang w:val="en-GB"/>
              </w:rPr>
              <w:t>:</w:t>
            </w:r>
          </w:p>
        </w:tc>
        <w:tc>
          <w:tcPr>
            <w:tcW w:w="1727" w:type="dxa"/>
            <w:gridSpan w:val="2"/>
            <w:tcBorders>
              <w:top w:val="single" w:sz="6" w:space="0" w:color="auto"/>
              <w:left w:val="single" w:sz="6" w:space="0" w:color="auto"/>
              <w:bottom w:val="nil"/>
              <w:right w:val="single" w:sz="6" w:space="0" w:color="auto"/>
            </w:tcBorders>
            <w:shd w:val="clear" w:color="auto" w:fill="D9D9D9"/>
          </w:tcPr>
          <w:p w14:paraId="1C1FB778" w14:textId="77777777" w:rsidR="00CD0466" w:rsidRPr="00992877" w:rsidRDefault="00CD0466" w:rsidP="00153236">
            <w:pPr>
              <w:pStyle w:val="Normlntabulkov"/>
              <w:jc w:val="center"/>
              <w:rPr>
                <w:lang w:val="en-GB"/>
              </w:rPr>
            </w:pPr>
            <w:r w:rsidRPr="00992877">
              <w:rPr>
                <w:lang w:val="en-GB"/>
              </w:rPr>
              <w:t>Dat</w:t>
            </w:r>
            <w:r w:rsidR="00153236" w:rsidRPr="00992877">
              <w:rPr>
                <w:lang w:val="en-GB"/>
              </w:rPr>
              <w:t>e</w:t>
            </w:r>
            <w:r w:rsidRPr="00992877">
              <w:rPr>
                <w:lang w:val="en-GB"/>
              </w:rPr>
              <w:t>:</w:t>
            </w:r>
          </w:p>
        </w:tc>
        <w:tc>
          <w:tcPr>
            <w:tcW w:w="2268" w:type="dxa"/>
            <w:gridSpan w:val="3"/>
            <w:tcBorders>
              <w:top w:val="single" w:sz="6" w:space="0" w:color="auto"/>
              <w:left w:val="single" w:sz="6" w:space="0" w:color="auto"/>
              <w:bottom w:val="nil"/>
              <w:right w:val="single" w:sz="12" w:space="0" w:color="auto"/>
            </w:tcBorders>
            <w:shd w:val="clear" w:color="auto" w:fill="D9D9D9"/>
          </w:tcPr>
          <w:p w14:paraId="07CE35E9" w14:textId="77777777" w:rsidR="00CD0466" w:rsidRPr="00992877" w:rsidRDefault="00153236" w:rsidP="00153236">
            <w:pPr>
              <w:pStyle w:val="Normlntabulkov"/>
              <w:jc w:val="center"/>
              <w:rPr>
                <w:lang w:val="en-GB"/>
              </w:rPr>
            </w:pPr>
            <w:r w:rsidRPr="00992877">
              <w:rPr>
                <w:lang w:val="en-GB"/>
              </w:rPr>
              <w:t>Signature</w:t>
            </w:r>
            <w:r w:rsidR="00CD0466" w:rsidRPr="00992877">
              <w:rPr>
                <w:lang w:val="en-GB"/>
              </w:rPr>
              <w:t>:</w:t>
            </w:r>
          </w:p>
        </w:tc>
      </w:tr>
      <w:tr w:rsidR="00CD0466" w:rsidRPr="00992877" w14:paraId="621A8923" w14:textId="77777777" w:rsidTr="00D01A1F">
        <w:trPr>
          <w:cantSplit/>
          <w:trHeight w:val="240"/>
          <w:jc w:val="center"/>
        </w:trPr>
        <w:tc>
          <w:tcPr>
            <w:tcW w:w="1884" w:type="dxa"/>
            <w:vMerge w:val="restart"/>
            <w:tcBorders>
              <w:top w:val="nil"/>
              <w:left w:val="single" w:sz="12" w:space="0" w:color="auto"/>
              <w:right w:val="single" w:sz="6" w:space="0" w:color="auto"/>
            </w:tcBorders>
            <w:shd w:val="clear" w:color="auto" w:fill="D9D9D9"/>
            <w:vAlign w:val="center"/>
          </w:tcPr>
          <w:p w14:paraId="78A639BA" w14:textId="77777777" w:rsidR="00CD0466" w:rsidRPr="00992877" w:rsidRDefault="00153236" w:rsidP="00153236">
            <w:pPr>
              <w:pStyle w:val="Normlntabulkov"/>
              <w:jc w:val="center"/>
              <w:rPr>
                <w:lang w:val="en-GB"/>
              </w:rPr>
            </w:pPr>
            <w:r w:rsidRPr="00992877">
              <w:rPr>
                <w:lang w:val="en-GB"/>
              </w:rPr>
              <w:lastRenderedPageBreak/>
              <w:t xml:space="preserve">on behalf of the Bidder </w:t>
            </w:r>
          </w:p>
        </w:tc>
        <w:tc>
          <w:tcPr>
            <w:tcW w:w="2015" w:type="dxa"/>
            <w:gridSpan w:val="3"/>
            <w:tcBorders>
              <w:top w:val="single" w:sz="6" w:space="0" w:color="auto"/>
              <w:left w:val="single" w:sz="6" w:space="0" w:color="auto"/>
              <w:bottom w:val="nil"/>
              <w:right w:val="single" w:sz="6" w:space="0" w:color="auto"/>
            </w:tcBorders>
          </w:tcPr>
          <w:p w14:paraId="1C019DFE" w14:textId="77777777" w:rsidR="00CD0466" w:rsidRPr="00992877" w:rsidRDefault="00CD0466" w:rsidP="008956FE">
            <w:pPr>
              <w:pStyle w:val="Normlntabulkov"/>
              <w:rPr>
                <w:lang w:val="en-GB"/>
              </w:rPr>
            </w:pPr>
          </w:p>
        </w:tc>
        <w:tc>
          <w:tcPr>
            <w:tcW w:w="2014" w:type="dxa"/>
            <w:gridSpan w:val="3"/>
            <w:tcBorders>
              <w:top w:val="single" w:sz="6" w:space="0" w:color="auto"/>
              <w:left w:val="single" w:sz="6" w:space="0" w:color="auto"/>
              <w:bottom w:val="nil"/>
              <w:right w:val="single" w:sz="6" w:space="0" w:color="auto"/>
            </w:tcBorders>
          </w:tcPr>
          <w:p w14:paraId="0516D1D9" w14:textId="77777777" w:rsidR="00CD0466" w:rsidRPr="00992877" w:rsidRDefault="00CD0466" w:rsidP="008956FE">
            <w:pPr>
              <w:pStyle w:val="Normlntabulkov"/>
              <w:rPr>
                <w:lang w:val="en-GB"/>
              </w:rPr>
            </w:pPr>
          </w:p>
        </w:tc>
        <w:tc>
          <w:tcPr>
            <w:tcW w:w="1727" w:type="dxa"/>
            <w:gridSpan w:val="2"/>
            <w:tcBorders>
              <w:top w:val="single" w:sz="6" w:space="0" w:color="auto"/>
              <w:left w:val="single" w:sz="6" w:space="0" w:color="auto"/>
              <w:bottom w:val="nil"/>
              <w:right w:val="single" w:sz="6" w:space="0" w:color="auto"/>
            </w:tcBorders>
          </w:tcPr>
          <w:p w14:paraId="577D2AA0" w14:textId="77777777" w:rsidR="00CD0466" w:rsidRPr="00992877" w:rsidRDefault="00CD0466" w:rsidP="008956FE">
            <w:pPr>
              <w:pStyle w:val="Normlntabulkov"/>
              <w:rPr>
                <w:lang w:val="en-GB"/>
              </w:rPr>
            </w:pPr>
          </w:p>
        </w:tc>
        <w:tc>
          <w:tcPr>
            <w:tcW w:w="2268" w:type="dxa"/>
            <w:gridSpan w:val="3"/>
            <w:tcBorders>
              <w:top w:val="single" w:sz="6" w:space="0" w:color="auto"/>
              <w:left w:val="single" w:sz="6" w:space="0" w:color="auto"/>
              <w:bottom w:val="nil"/>
              <w:right w:val="single" w:sz="12" w:space="0" w:color="auto"/>
            </w:tcBorders>
          </w:tcPr>
          <w:p w14:paraId="77D93030" w14:textId="77777777" w:rsidR="00CD0466" w:rsidRPr="00992877" w:rsidRDefault="00CD0466" w:rsidP="008956FE">
            <w:pPr>
              <w:pStyle w:val="Normlntabulkov"/>
              <w:rPr>
                <w:lang w:val="en-GB"/>
              </w:rPr>
            </w:pPr>
          </w:p>
        </w:tc>
      </w:tr>
      <w:tr w:rsidR="00CD0466" w:rsidRPr="00992877" w14:paraId="44BB08A5" w14:textId="77777777" w:rsidTr="00D01A1F">
        <w:trPr>
          <w:cantSplit/>
          <w:trHeight w:val="287"/>
          <w:jc w:val="center"/>
        </w:trPr>
        <w:tc>
          <w:tcPr>
            <w:tcW w:w="1884" w:type="dxa"/>
            <w:vMerge/>
            <w:tcBorders>
              <w:left w:val="single" w:sz="12" w:space="0" w:color="auto"/>
              <w:bottom w:val="single" w:sz="12" w:space="0" w:color="auto"/>
              <w:right w:val="single" w:sz="6" w:space="0" w:color="auto"/>
            </w:tcBorders>
            <w:shd w:val="clear" w:color="auto" w:fill="D9D9D9"/>
          </w:tcPr>
          <w:p w14:paraId="2F0BEC8A" w14:textId="77777777" w:rsidR="00CD0466" w:rsidRPr="00992877" w:rsidRDefault="00CD0466" w:rsidP="008956FE">
            <w:pPr>
              <w:pStyle w:val="Normlntabulkov"/>
              <w:rPr>
                <w:lang w:val="en-GB"/>
              </w:rPr>
            </w:pPr>
          </w:p>
        </w:tc>
        <w:tc>
          <w:tcPr>
            <w:tcW w:w="2015" w:type="dxa"/>
            <w:gridSpan w:val="3"/>
            <w:tcBorders>
              <w:top w:val="single" w:sz="6" w:space="0" w:color="auto"/>
              <w:left w:val="single" w:sz="6" w:space="0" w:color="auto"/>
              <w:bottom w:val="single" w:sz="12" w:space="0" w:color="auto"/>
              <w:right w:val="single" w:sz="6" w:space="0" w:color="auto"/>
            </w:tcBorders>
          </w:tcPr>
          <w:p w14:paraId="777E4864" w14:textId="77777777" w:rsidR="00CD0466" w:rsidRPr="00992877" w:rsidRDefault="00CD0466" w:rsidP="008956FE">
            <w:pPr>
              <w:pStyle w:val="Normlntabulkov"/>
              <w:rPr>
                <w:lang w:val="en-GB"/>
              </w:rPr>
            </w:pPr>
          </w:p>
        </w:tc>
        <w:tc>
          <w:tcPr>
            <w:tcW w:w="2014" w:type="dxa"/>
            <w:gridSpan w:val="3"/>
            <w:tcBorders>
              <w:top w:val="single" w:sz="6" w:space="0" w:color="auto"/>
              <w:left w:val="single" w:sz="6" w:space="0" w:color="auto"/>
              <w:bottom w:val="single" w:sz="12" w:space="0" w:color="auto"/>
              <w:right w:val="single" w:sz="6" w:space="0" w:color="auto"/>
            </w:tcBorders>
          </w:tcPr>
          <w:p w14:paraId="42AC1180" w14:textId="77777777" w:rsidR="00CD0466" w:rsidRPr="00992877" w:rsidRDefault="00CD0466" w:rsidP="008956FE">
            <w:pPr>
              <w:pStyle w:val="Normlntabulkov"/>
              <w:rPr>
                <w:lang w:val="en-GB"/>
              </w:rPr>
            </w:pPr>
          </w:p>
        </w:tc>
        <w:tc>
          <w:tcPr>
            <w:tcW w:w="1727" w:type="dxa"/>
            <w:gridSpan w:val="2"/>
            <w:tcBorders>
              <w:top w:val="single" w:sz="6" w:space="0" w:color="auto"/>
              <w:left w:val="single" w:sz="6" w:space="0" w:color="auto"/>
              <w:bottom w:val="single" w:sz="12" w:space="0" w:color="auto"/>
              <w:right w:val="single" w:sz="6" w:space="0" w:color="auto"/>
            </w:tcBorders>
          </w:tcPr>
          <w:p w14:paraId="5E282800" w14:textId="77777777" w:rsidR="00CD0466" w:rsidRPr="00992877" w:rsidRDefault="00CD0466" w:rsidP="008956FE">
            <w:pPr>
              <w:pStyle w:val="Normlntabulkov"/>
              <w:rPr>
                <w:lang w:val="en-GB"/>
              </w:rPr>
            </w:pPr>
          </w:p>
        </w:tc>
        <w:tc>
          <w:tcPr>
            <w:tcW w:w="2268" w:type="dxa"/>
            <w:gridSpan w:val="3"/>
            <w:tcBorders>
              <w:top w:val="single" w:sz="6" w:space="0" w:color="auto"/>
              <w:left w:val="single" w:sz="6" w:space="0" w:color="auto"/>
              <w:bottom w:val="single" w:sz="12" w:space="0" w:color="auto"/>
              <w:right w:val="single" w:sz="12" w:space="0" w:color="auto"/>
            </w:tcBorders>
          </w:tcPr>
          <w:p w14:paraId="4593734C" w14:textId="77777777" w:rsidR="00CD0466" w:rsidRPr="00992877" w:rsidRDefault="00CD0466" w:rsidP="008956FE">
            <w:pPr>
              <w:pStyle w:val="Normlntabulkov"/>
              <w:rPr>
                <w:lang w:val="en-GB"/>
              </w:rPr>
            </w:pPr>
          </w:p>
        </w:tc>
      </w:tr>
    </w:tbl>
    <w:p w14:paraId="56477A35" w14:textId="77777777" w:rsidR="00CD0466" w:rsidRPr="00992877" w:rsidRDefault="00CD0466" w:rsidP="00D01A1F">
      <w:pPr>
        <w:pStyle w:val="Ozna"/>
        <w:spacing w:after="0" w:line="360" w:lineRule="auto"/>
        <w:ind w:left="0" w:firstLine="0"/>
        <w:rPr>
          <w:sz w:val="16"/>
          <w:szCs w:val="16"/>
        </w:rPr>
      </w:pPr>
    </w:p>
    <w:sectPr w:rsidR="00CD0466" w:rsidRPr="00992877" w:rsidSect="00D01A1F">
      <w:pgSz w:w="11907" w:h="16840"/>
      <w:pgMar w:top="284" w:right="1418" w:bottom="284" w:left="1418" w:header="709"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D8BB" w14:textId="77777777" w:rsidR="009B31DD" w:rsidRDefault="009B31DD">
      <w:r>
        <w:separator/>
      </w:r>
    </w:p>
  </w:endnote>
  <w:endnote w:type="continuationSeparator" w:id="0">
    <w:p w14:paraId="367E02D2" w14:textId="77777777" w:rsidR="009B31DD" w:rsidRDefault="009B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A357" w14:textId="77777777" w:rsidR="009B31DD" w:rsidRDefault="009B31DD">
      <w:r>
        <w:separator/>
      </w:r>
    </w:p>
  </w:footnote>
  <w:footnote w:type="continuationSeparator" w:id="0">
    <w:p w14:paraId="112BBD9E" w14:textId="77777777" w:rsidR="009B31DD" w:rsidRDefault="009B31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4C43DB"/>
    <w:multiLevelType w:val="hybridMultilevel"/>
    <w:tmpl w:val="CE401610"/>
    <w:lvl w:ilvl="0" w:tplc="885CB34A">
      <w:start w:val="1"/>
      <w:numFmt w:val="bullet"/>
      <w:lvlText w:val=""/>
      <w:lvlJc w:val="left"/>
      <w:pPr>
        <w:tabs>
          <w:tab w:val="num" w:pos="720"/>
        </w:tabs>
        <w:ind w:left="851" w:hanging="22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580495"/>
    <w:multiLevelType w:val="singleLevel"/>
    <w:tmpl w:val="F190BCC0"/>
    <w:lvl w:ilvl="0">
      <w:start w:val="1"/>
      <w:numFmt w:val="decimal"/>
      <w:lvlText w:val="%1."/>
      <w:legacy w:legacy="1" w:legacySpace="0" w:legacyIndent="283"/>
      <w:lvlJc w:val="left"/>
      <w:pPr>
        <w:ind w:left="283" w:hanging="283"/>
      </w:pPr>
    </w:lvl>
  </w:abstractNum>
  <w:abstractNum w:abstractNumId="2" w15:restartNumberingAfterBreak="0">
    <w:nsid w:val="6EF160E4"/>
    <w:multiLevelType w:val="multilevel"/>
    <w:tmpl w:val="6C4C3A5E"/>
    <w:lvl w:ilvl="0">
      <w:start w:val="4"/>
      <w:numFmt w:val="decimal"/>
      <w:pStyle w:val="Nadpis1"/>
      <w:lvlText w:val="%1"/>
      <w:lvlJc w:val="left"/>
      <w:pPr>
        <w:tabs>
          <w:tab w:val="num" w:pos="360"/>
        </w:tabs>
        <w:ind w:left="0" w:firstLine="0"/>
      </w:pPr>
      <w:rPr>
        <w:rFonts w:hint="default"/>
      </w:rPr>
    </w:lvl>
    <w:lvl w:ilvl="1">
      <w:start w:val="1"/>
      <w:numFmt w:val="decimal"/>
      <w:pStyle w:val="Nadpis2"/>
      <w:lvlText w:val="%1.%2"/>
      <w:lvlJc w:val="left"/>
      <w:pPr>
        <w:tabs>
          <w:tab w:val="num" w:pos="454"/>
        </w:tabs>
        <w:ind w:left="454" w:hanging="454"/>
      </w:pPr>
      <w:rPr>
        <w:rFonts w:hint="default"/>
      </w:rPr>
    </w:lvl>
    <w:lvl w:ilvl="2">
      <w:start w:val="4"/>
      <w:numFmt w:val="decimal"/>
      <w:pStyle w:val="Nadpis3"/>
      <w:lvlText w:val="%1.%2.%3"/>
      <w:lvlJc w:val="left"/>
      <w:pPr>
        <w:tabs>
          <w:tab w:val="num" w:pos="624"/>
        </w:tabs>
        <w:ind w:left="624" w:hanging="624"/>
      </w:pPr>
      <w:rPr>
        <w:rFonts w:hint="default"/>
      </w:rPr>
    </w:lvl>
    <w:lvl w:ilvl="3">
      <w:start w:val="1"/>
      <w:numFmt w:val="decimal"/>
      <w:pStyle w:val="Nadpis4"/>
      <w:suff w:val="space"/>
      <w:lvlText w:val="%1.%2.%3.%4"/>
      <w:lvlJc w:val="left"/>
      <w:pPr>
        <w:ind w:left="794" w:hanging="794"/>
      </w:pPr>
      <w:rPr>
        <w:rFonts w:hint="default"/>
      </w:rPr>
    </w:lvl>
    <w:lvl w:ilvl="4">
      <w:start w:val="1"/>
      <w:numFmt w:val="decimal"/>
      <w:pStyle w:val="Nadpis5"/>
      <w:lvlText w:val="%1.%2.%3.%4%5."/>
      <w:lvlJc w:val="left"/>
      <w:pPr>
        <w:tabs>
          <w:tab w:val="num" w:pos="0"/>
        </w:tabs>
        <w:ind w:left="2580" w:hanging="708"/>
      </w:pPr>
      <w:rPr>
        <w:rFonts w:hint="default"/>
      </w:rPr>
    </w:lvl>
    <w:lvl w:ilvl="5">
      <w:start w:val="1"/>
      <w:numFmt w:val="decimal"/>
      <w:pStyle w:val="Nadpis6"/>
      <w:lvlText w:val="%1.%2.%3.%4%5.%6."/>
      <w:lvlJc w:val="left"/>
      <w:pPr>
        <w:tabs>
          <w:tab w:val="num" w:pos="0"/>
        </w:tabs>
        <w:ind w:left="3288" w:hanging="708"/>
      </w:pPr>
      <w:rPr>
        <w:rFonts w:hint="default"/>
      </w:rPr>
    </w:lvl>
    <w:lvl w:ilvl="6">
      <w:start w:val="1"/>
      <w:numFmt w:val="decimal"/>
      <w:pStyle w:val="Nadpis7"/>
      <w:lvlText w:val="%1.%2.%3.%4%5.%6.%7."/>
      <w:lvlJc w:val="left"/>
      <w:pPr>
        <w:tabs>
          <w:tab w:val="num" w:pos="0"/>
        </w:tabs>
        <w:ind w:left="3996" w:hanging="708"/>
      </w:pPr>
      <w:rPr>
        <w:rFonts w:hint="default"/>
      </w:rPr>
    </w:lvl>
    <w:lvl w:ilvl="7">
      <w:start w:val="1"/>
      <w:numFmt w:val="decimal"/>
      <w:pStyle w:val="Nadpis8"/>
      <w:lvlText w:val="%1.%2.%3.%4%5.%6.%7.%8."/>
      <w:lvlJc w:val="left"/>
      <w:pPr>
        <w:tabs>
          <w:tab w:val="num" w:pos="0"/>
        </w:tabs>
        <w:ind w:left="4704" w:hanging="708"/>
      </w:pPr>
      <w:rPr>
        <w:rFonts w:hint="default"/>
      </w:rPr>
    </w:lvl>
    <w:lvl w:ilvl="8">
      <w:start w:val="1"/>
      <w:numFmt w:val="decimal"/>
      <w:pStyle w:val="Nadpis9"/>
      <w:lvlText w:val="%1.%2.%3.%4%5.%6.%7.%8.%9."/>
      <w:lvlJc w:val="left"/>
      <w:pPr>
        <w:tabs>
          <w:tab w:val="num" w:pos="0"/>
        </w:tabs>
        <w:ind w:left="5412" w:hanging="708"/>
      </w:pPr>
      <w:rPr>
        <w:rFont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A44"/>
    <w:rsid w:val="00007D92"/>
    <w:rsid w:val="000263EF"/>
    <w:rsid w:val="00040202"/>
    <w:rsid w:val="00044E4E"/>
    <w:rsid w:val="0005575A"/>
    <w:rsid w:val="00092572"/>
    <w:rsid w:val="000B4514"/>
    <w:rsid w:val="000B4866"/>
    <w:rsid w:val="000B7DFB"/>
    <w:rsid w:val="000D0B29"/>
    <w:rsid w:val="00107DD3"/>
    <w:rsid w:val="001437DA"/>
    <w:rsid w:val="00153236"/>
    <w:rsid w:val="001554C1"/>
    <w:rsid w:val="00181B30"/>
    <w:rsid w:val="001B0956"/>
    <w:rsid w:val="00221E38"/>
    <w:rsid w:val="0022236C"/>
    <w:rsid w:val="0023520D"/>
    <w:rsid w:val="00237848"/>
    <w:rsid w:val="002429D6"/>
    <w:rsid w:val="00242E19"/>
    <w:rsid w:val="002542C0"/>
    <w:rsid w:val="0025529B"/>
    <w:rsid w:val="002909DD"/>
    <w:rsid w:val="002A0367"/>
    <w:rsid w:val="002A3F27"/>
    <w:rsid w:val="002C72DE"/>
    <w:rsid w:val="002E7411"/>
    <w:rsid w:val="002F25B2"/>
    <w:rsid w:val="002F516A"/>
    <w:rsid w:val="003079CE"/>
    <w:rsid w:val="00322766"/>
    <w:rsid w:val="00324310"/>
    <w:rsid w:val="00333F47"/>
    <w:rsid w:val="003377E7"/>
    <w:rsid w:val="00360762"/>
    <w:rsid w:val="00375A7B"/>
    <w:rsid w:val="00384046"/>
    <w:rsid w:val="00385E43"/>
    <w:rsid w:val="003A02CE"/>
    <w:rsid w:val="003B71EF"/>
    <w:rsid w:val="003D1567"/>
    <w:rsid w:val="003D6D1B"/>
    <w:rsid w:val="003D7F7C"/>
    <w:rsid w:val="003E3A70"/>
    <w:rsid w:val="003F1BE4"/>
    <w:rsid w:val="003F3CE7"/>
    <w:rsid w:val="0040507F"/>
    <w:rsid w:val="00412B1E"/>
    <w:rsid w:val="004209D4"/>
    <w:rsid w:val="004229A3"/>
    <w:rsid w:val="004305B8"/>
    <w:rsid w:val="00431D24"/>
    <w:rsid w:val="00472F1E"/>
    <w:rsid w:val="0048165C"/>
    <w:rsid w:val="0049317B"/>
    <w:rsid w:val="004A0211"/>
    <w:rsid w:val="004A42F6"/>
    <w:rsid w:val="004C1BA8"/>
    <w:rsid w:val="004C6042"/>
    <w:rsid w:val="004D05B2"/>
    <w:rsid w:val="004D4948"/>
    <w:rsid w:val="004F39FB"/>
    <w:rsid w:val="0050341F"/>
    <w:rsid w:val="00537749"/>
    <w:rsid w:val="005404AB"/>
    <w:rsid w:val="00541586"/>
    <w:rsid w:val="005745C5"/>
    <w:rsid w:val="005B2ECD"/>
    <w:rsid w:val="005F624C"/>
    <w:rsid w:val="00620EC0"/>
    <w:rsid w:val="00691136"/>
    <w:rsid w:val="00697259"/>
    <w:rsid w:val="006C313B"/>
    <w:rsid w:val="006D2143"/>
    <w:rsid w:val="00730CEE"/>
    <w:rsid w:val="00732E84"/>
    <w:rsid w:val="007368BB"/>
    <w:rsid w:val="00746FE7"/>
    <w:rsid w:val="00797A21"/>
    <w:rsid w:val="007D0EFF"/>
    <w:rsid w:val="007D7485"/>
    <w:rsid w:val="00851BB7"/>
    <w:rsid w:val="00881727"/>
    <w:rsid w:val="008932C7"/>
    <w:rsid w:val="008956FE"/>
    <w:rsid w:val="008B5A22"/>
    <w:rsid w:val="008B6AC1"/>
    <w:rsid w:val="008C2DB6"/>
    <w:rsid w:val="008C7DEA"/>
    <w:rsid w:val="008E2302"/>
    <w:rsid w:val="00900225"/>
    <w:rsid w:val="00901968"/>
    <w:rsid w:val="0090578E"/>
    <w:rsid w:val="00924981"/>
    <w:rsid w:val="00926FEA"/>
    <w:rsid w:val="00946208"/>
    <w:rsid w:val="00954B71"/>
    <w:rsid w:val="00981D37"/>
    <w:rsid w:val="00992877"/>
    <w:rsid w:val="009B31DD"/>
    <w:rsid w:val="009F692A"/>
    <w:rsid w:val="009F7EF0"/>
    <w:rsid w:val="00A03E09"/>
    <w:rsid w:val="00A21174"/>
    <w:rsid w:val="00A52AA5"/>
    <w:rsid w:val="00A74E03"/>
    <w:rsid w:val="00AC6166"/>
    <w:rsid w:val="00AE0EEC"/>
    <w:rsid w:val="00AE58D0"/>
    <w:rsid w:val="00AF442D"/>
    <w:rsid w:val="00B074F2"/>
    <w:rsid w:val="00B250AA"/>
    <w:rsid w:val="00B41FE7"/>
    <w:rsid w:val="00B55CA3"/>
    <w:rsid w:val="00B60DC1"/>
    <w:rsid w:val="00BC1B55"/>
    <w:rsid w:val="00BF1C9D"/>
    <w:rsid w:val="00BF7D97"/>
    <w:rsid w:val="00C02094"/>
    <w:rsid w:val="00C03C82"/>
    <w:rsid w:val="00C1595E"/>
    <w:rsid w:val="00C17B4E"/>
    <w:rsid w:val="00C22974"/>
    <w:rsid w:val="00C60A7B"/>
    <w:rsid w:val="00C66260"/>
    <w:rsid w:val="00C704BF"/>
    <w:rsid w:val="00C713A2"/>
    <w:rsid w:val="00C758B5"/>
    <w:rsid w:val="00C9399E"/>
    <w:rsid w:val="00CB787F"/>
    <w:rsid w:val="00CC2D1F"/>
    <w:rsid w:val="00CD0466"/>
    <w:rsid w:val="00CD3BAB"/>
    <w:rsid w:val="00CF0DBF"/>
    <w:rsid w:val="00D018AD"/>
    <w:rsid w:val="00D01A1F"/>
    <w:rsid w:val="00D10174"/>
    <w:rsid w:val="00D1228E"/>
    <w:rsid w:val="00D20F6B"/>
    <w:rsid w:val="00D40DB4"/>
    <w:rsid w:val="00D45CAA"/>
    <w:rsid w:val="00D60797"/>
    <w:rsid w:val="00D72B6E"/>
    <w:rsid w:val="00DC0BC7"/>
    <w:rsid w:val="00DC5AAB"/>
    <w:rsid w:val="00DD2C4E"/>
    <w:rsid w:val="00DE6898"/>
    <w:rsid w:val="00DE7A44"/>
    <w:rsid w:val="00DF6CC9"/>
    <w:rsid w:val="00E10328"/>
    <w:rsid w:val="00E20778"/>
    <w:rsid w:val="00E301D8"/>
    <w:rsid w:val="00E6653C"/>
    <w:rsid w:val="00E835F9"/>
    <w:rsid w:val="00E925DF"/>
    <w:rsid w:val="00EA64C8"/>
    <w:rsid w:val="00EB4544"/>
    <w:rsid w:val="00EE5178"/>
    <w:rsid w:val="00EF53FC"/>
    <w:rsid w:val="00F157F5"/>
    <w:rsid w:val="00F3089F"/>
    <w:rsid w:val="00F36BA6"/>
    <w:rsid w:val="00F670C5"/>
    <w:rsid w:val="00F73C6F"/>
    <w:rsid w:val="00F82DBF"/>
    <w:rsid w:val="00F968C1"/>
    <w:rsid w:val="00FA771C"/>
    <w:rsid w:val="00FD45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CC24C57"/>
  <w15:docId w15:val="{A45561DF-4C82-45C1-98D9-2C6CA918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spacing w:after="60"/>
      <w:textAlignment w:val="baseline"/>
    </w:pPr>
    <w:rPr>
      <w:sz w:val="22"/>
      <w:szCs w:val="22"/>
    </w:rPr>
  </w:style>
  <w:style w:type="paragraph" w:styleId="Nadpis1">
    <w:name w:val="heading 1"/>
    <w:basedOn w:val="Normln"/>
    <w:next w:val="Normln"/>
    <w:qFormat/>
    <w:pPr>
      <w:numPr>
        <w:numId w:val="2"/>
      </w:numPr>
      <w:spacing w:before="120" w:after="120"/>
      <w:outlineLvl w:val="0"/>
    </w:pPr>
    <w:rPr>
      <w:rFonts w:ascii="Arial" w:hAnsi="Arial" w:cs="Arial"/>
      <w:b/>
      <w:bCs/>
      <w:sz w:val="24"/>
      <w:szCs w:val="24"/>
    </w:rPr>
  </w:style>
  <w:style w:type="paragraph" w:styleId="Nadpis2">
    <w:name w:val="heading 2"/>
    <w:basedOn w:val="Normln"/>
    <w:next w:val="Normln"/>
    <w:qFormat/>
    <w:pPr>
      <w:numPr>
        <w:ilvl w:val="1"/>
        <w:numId w:val="2"/>
      </w:numPr>
      <w:spacing w:before="120" w:after="120"/>
      <w:outlineLvl w:val="1"/>
    </w:pPr>
    <w:rPr>
      <w:rFonts w:ascii="Arial" w:hAnsi="Arial" w:cs="Arial"/>
      <w:b/>
      <w:bCs/>
    </w:rPr>
  </w:style>
  <w:style w:type="paragraph" w:styleId="Nadpis3">
    <w:name w:val="heading 3"/>
    <w:basedOn w:val="Normln"/>
    <w:next w:val="Normln"/>
    <w:qFormat/>
    <w:pPr>
      <w:numPr>
        <w:ilvl w:val="2"/>
        <w:numId w:val="2"/>
      </w:numPr>
      <w:outlineLvl w:val="2"/>
    </w:pPr>
  </w:style>
  <w:style w:type="paragraph" w:styleId="Nadpis4">
    <w:name w:val="heading 4"/>
    <w:basedOn w:val="Normln"/>
    <w:next w:val="Normlnodsazen"/>
    <w:qFormat/>
    <w:pPr>
      <w:numPr>
        <w:ilvl w:val="3"/>
        <w:numId w:val="2"/>
      </w:numPr>
      <w:outlineLvl w:val="3"/>
    </w:pPr>
  </w:style>
  <w:style w:type="paragraph" w:styleId="Nadpis5">
    <w:name w:val="heading 5"/>
    <w:basedOn w:val="Normln"/>
    <w:next w:val="Normln"/>
    <w:qFormat/>
    <w:pPr>
      <w:numPr>
        <w:ilvl w:val="4"/>
        <w:numId w:val="2"/>
      </w:numPr>
      <w:spacing w:before="240"/>
      <w:outlineLvl w:val="4"/>
    </w:pPr>
    <w:rPr>
      <w:rFonts w:ascii="Arial" w:hAnsi="Arial" w:cs="Arial"/>
    </w:rPr>
  </w:style>
  <w:style w:type="paragraph" w:styleId="Nadpis6">
    <w:name w:val="heading 6"/>
    <w:basedOn w:val="Normln"/>
    <w:next w:val="Normln"/>
    <w:qFormat/>
    <w:pPr>
      <w:numPr>
        <w:ilvl w:val="5"/>
        <w:numId w:val="2"/>
      </w:numPr>
      <w:spacing w:before="240"/>
      <w:outlineLvl w:val="5"/>
    </w:pPr>
    <w:rPr>
      <w:rFonts w:ascii="Arial" w:hAnsi="Arial" w:cs="Arial"/>
      <w:i/>
      <w:iCs/>
    </w:rPr>
  </w:style>
  <w:style w:type="paragraph" w:styleId="Nadpis7">
    <w:name w:val="heading 7"/>
    <w:basedOn w:val="Normln"/>
    <w:next w:val="Normln"/>
    <w:qFormat/>
    <w:pPr>
      <w:numPr>
        <w:ilvl w:val="6"/>
        <w:numId w:val="2"/>
      </w:numPr>
      <w:spacing w:before="240"/>
      <w:outlineLvl w:val="6"/>
    </w:pPr>
    <w:rPr>
      <w:rFonts w:ascii="Arial" w:hAnsi="Arial" w:cs="Arial"/>
      <w:sz w:val="20"/>
      <w:szCs w:val="20"/>
    </w:rPr>
  </w:style>
  <w:style w:type="paragraph" w:styleId="Nadpis8">
    <w:name w:val="heading 8"/>
    <w:basedOn w:val="Normln"/>
    <w:next w:val="Normln"/>
    <w:qFormat/>
    <w:pPr>
      <w:numPr>
        <w:ilvl w:val="7"/>
        <w:numId w:val="2"/>
      </w:numPr>
      <w:spacing w:before="240"/>
      <w:outlineLvl w:val="7"/>
    </w:pPr>
    <w:rPr>
      <w:rFonts w:ascii="Arial" w:hAnsi="Arial" w:cs="Arial"/>
      <w:i/>
      <w:iCs/>
      <w:sz w:val="20"/>
      <w:szCs w:val="20"/>
    </w:rPr>
  </w:style>
  <w:style w:type="paragraph" w:styleId="Nadpis9">
    <w:name w:val="heading 9"/>
    <w:basedOn w:val="Normln"/>
    <w:next w:val="Normln"/>
    <w:qFormat/>
    <w:pPr>
      <w:numPr>
        <w:ilvl w:val="8"/>
        <w:numId w:val="2"/>
      </w:numPr>
      <w:spacing w:before="24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20"/>
    </w:pPr>
  </w:style>
  <w:style w:type="paragraph" w:customStyle="1" w:styleId="ZpatPata">
    <w:name w:val="Zápatí.Pata"/>
    <w:basedOn w:val="Normln"/>
    <w:pPr>
      <w:tabs>
        <w:tab w:val="center" w:pos="4819"/>
        <w:tab w:val="right" w:pos="9071"/>
      </w:tabs>
    </w:pPr>
  </w:style>
  <w:style w:type="paragraph" w:styleId="Zhlav">
    <w:name w:val="header"/>
    <w:basedOn w:val="Normln"/>
    <w:link w:val="ZhlavChar"/>
    <w:pPr>
      <w:tabs>
        <w:tab w:val="center" w:pos="4819"/>
        <w:tab w:val="right" w:pos="9071"/>
      </w:tabs>
    </w:pPr>
  </w:style>
  <w:style w:type="paragraph" w:customStyle="1" w:styleId="Ozna">
    <w:name w:val="Ozna"/>
    <w:basedOn w:val="Normln"/>
    <w:pPr>
      <w:spacing w:after="120"/>
      <w:ind w:left="425" w:hanging="425"/>
    </w:pPr>
    <w:rPr>
      <w:rFonts w:ascii="Arial" w:hAnsi="Arial" w:cs="Arial"/>
      <w:b/>
      <w:bCs/>
      <w:sz w:val="24"/>
      <w:szCs w:val="24"/>
    </w:rPr>
  </w:style>
  <w:style w:type="paragraph" w:customStyle="1" w:styleId="Odstavec">
    <w:name w:val="Odstavec"/>
    <w:basedOn w:val="Normln"/>
    <w:pPr>
      <w:ind w:firstLine="426"/>
      <w:jc w:val="both"/>
    </w:pPr>
  </w:style>
  <w:style w:type="paragraph" w:styleId="Nzev">
    <w:name w:val="Title"/>
    <w:basedOn w:val="Normln"/>
    <w:qFormat/>
    <w:pPr>
      <w:spacing w:before="240"/>
      <w:jc w:val="center"/>
    </w:pPr>
    <w:rPr>
      <w:b/>
      <w:bCs/>
      <w:caps/>
      <w:kern w:val="28"/>
      <w:sz w:val="32"/>
      <w:szCs w:val="32"/>
    </w:rPr>
  </w:style>
  <w:style w:type="paragraph" w:customStyle="1" w:styleId="Pojmydefinice">
    <w:name w:val="Pojmy. definice ..."/>
    <w:basedOn w:val="Normln"/>
    <w:pPr>
      <w:tabs>
        <w:tab w:val="left" w:pos="3119"/>
      </w:tabs>
      <w:spacing w:after="120"/>
      <w:ind w:left="3402" w:hanging="3402"/>
    </w:pPr>
  </w:style>
  <w:style w:type="paragraph" w:customStyle="1" w:styleId="Podtitul1">
    <w:name w:val="Podtitul1"/>
    <w:basedOn w:val="Normln"/>
    <w:qFormat/>
    <w:pPr>
      <w:jc w:val="center"/>
    </w:pPr>
    <w:rPr>
      <w:b/>
      <w:bCs/>
      <w:caps/>
      <w:sz w:val="24"/>
      <w:szCs w:val="24"/>
    </w:rPr>
  </w:style>
  <w:style w:type="paragraph" w:customStyle="1" w:styleId="V">
    <w:name w:val="Vý"/>
    <w:basedOn w:val="Normln"/>
    <w:pPr>
      <w:ind w:left="993" w:hanging="283"/>
    </w:pPr>
  </w:style>
  <w:style w:type="paragraph" w:styleId="Zkladntext">
    <w:name w:val="Body Text"/>
    <w:basedOn w:val="Normln"/>
    <w:pPr>
      <w:spacing w:after="0"/>
      <w:jc w:val="both"/>
    </w:pPr>
    <w:rPr>
      <w:rFonts w:ascii="Tms Rmn" w:hAnsi="Tms Rmn" w:cs="Tms Rmn"/>
      <w:color w:val="000000"/>
      <w:sz w:val="24"/>
      <w:szCs w:val="24"/>
    </w:rPr>
  </w:style>
  <w:style w:type="paragraph" w:styleId="Obsah1">
    <w:name w:val="toc 1"/>
    <w:basedOn w:val="Normln"/>
    <w:next w:val="Normln"/>
    <w:autoRedefine/>
    <w:semiHidden/>
    <w:pPr>
      <w:tabs>
        <w:tab w:val="right" w:leader="dot" w:pos="8279"/>
      </w:tabs>
    </w:pPr>
  </w:style>
  <w:style w:type="paragraph" w:customStyle="1" w:styleId="Normln1xodsazen">
    <w:name w:val="Normální 1x odsazený"/>
    <w:basedOn w:val="Normln"/>
    <w:pPr>
      <w:tabs>
        <w:tab w:val="left" w:pos="360"/>
      </w:tabs>
      <w:ind w:left="360" w:right="425" w:hanging="360"/>
    </w:pPr>
  </w:style>
  <w:style w:type="paragraph" w:customStyle="1" w:styleId="Odr">
    <w:name w:val="Odrá"/>
    <w:basedOn w:val="Normln"/>
    <w:pPr>
      <w:tabs>
        <w:tab w:val="left" w:pos="302"/>
        <w:tab w:val="right" w:pos="8392"/>
      </w:tabs>
      <w:spacing w:after="72"/>
      <w:ind w:left="301" w:hanging="301"/>
    </w:pPr>
  </w:style>
  <w:style w:type="paragraph" w:customStyle="1" w:styleId="Normln2xodsazen">
    <w:name w:val="Normální 2x odsazený"/>
    <w:basedOn w:val="Normln"/>
    <w:pPr>
      <w:ind w:left="1724" w:right="425" w:hanging="284"/>
    </w:pPr>
  </w:style>
  <w:style w:type="paragraph" w:styleId="Titulek">
    <w:name w:val="caption"/>
    <w:basedOn w:val="Normln"/>
    <w:next w:val="Normln"/>
    <w:qFormat/>
    <w:pPr>
      <w:spacing w:before="120" w:after="120"/>
      <w:ind w:right="57"/>
      <w:jc w:val="center"/>
    </w:pPr>
    <w:rPr>
      <w:b/>
      <w:bCs/>
    </w:rPr>
  </w:style>
  <w:style w:type="paragraph" w:customStyle="1" w:styleId="Normln3xodsazen">
    <w:name w:val="Normální 3x odsazený"/>
    <w:basedOn w:val="Normln2xodsazen"/>
    <w:pPr>
      <w:ind w:left="2443"/>
    </w:pPr>
  </w:style>
  <w:style w:type="character" w:styleId="slostrnky">
    <w:name w:val="page number"/>
    <w:basedOn w:val="Standardnpsmoodstavce"/>
  </w:style>
  <w:style w:type="paragraph" w:styleId="Seznamobrzk">
    <w:name w:val="table of figures"/>
    <w:basedOn w:val="Normln"/>
    <w:next w:val="Normln"/>
    <w:semiHidden/>
    <w:pPr>
      <w:tabs>
        <w:tab w:val="right" w:leader="dot" w:pos="9355"/>
      </w:tabs>
      <w:spacing w:after="72"/>
      <w:ind w:left="440" w:hanging="440"/>
      <w:jc w:val="both"/>
    </w:pPr>
  </w:style>
  <w:style w:type="paragraph" w:styleId="Rozloendokumentu">
    <w:name w:val="Document Map"/>
    <w:basedOn w:val="Normln"/>
    <w:semiHidden/>
    <w:pPr>
      <w:shd w:val="clear" w:color="auto" w:fill="000080"/>
    </w:pPr>
    <w:rPr>
      <w:rFonts w:ascii="Tahoma" w:hAnsi="Tahoma" w:cs="Tahoma"/>
    </w:rPr>
  </w:style>
  <w:style w:type="paragraph" w:customStyle="1" w:styleId="Normlntabulkov">
    <w:name w:val="Normální tabulkový"/>
    <w:basedOn w:val="Normln"/>
    <w:pPr>
      <w:spacing w:before="60"/>
    </w:pPr>
    <w:rPr>
      <w:rFonts w:ascii="Arial" w:hAnsi="Arial" w:cs="Arial"/>
      <w:sz w:val="16"/>
      <w:szCs w:val="16"/>
    </w:rPr>
  </w:style>
  <w:style w:type="character" w:styleId="Hypertextovodkaz">
    <w:name w:val="Hyperlink"/>
    <w:rPr>
      <w:color w:val="0000FF"/>
      <w:u w:val="single"/>
    </w:rPr>
  </w:style>
  <w:style w:type="paragraph" w:styleId="Zpat">
    <w:name w:val="footer"/>
    <w:aliases w:val="Pata"/>
    <w:basedOn w:val="Normln"/>
    <w:pPr>
      <w:tabs>
        <w:tab w:val="center" w:pos="4536"/>
        <w:tab w:val="right" w:pos="9072"/>
      </w:tabs>
    </w:pPr>
  </w:style>
  <w:style w:type="paragraph" w:styleId="Seznam">
    <w:name w:val="List"/>
    <w:basedOn w:val="Normln"/>
    <w:pPr>
      <w:spacing w:before="240" w:after="0"/>
      <w:ind w:left="3544" w:hanging="3544"/>
      <w:jc w:val="both"/>
    </w:pPr>
    <w:rPr>
      <w:rFonts w:ascii="Arial" w:hAnsi="Arial" w:cs="Arial"/>
      <w:sz w:val="24"/>
      <w:szCs w:val="24"/>
    </w:rPr>
  </w:style>
  <w:style w:type="paragraph" w:styleId="Obsah2">
    <w:name w:val="toc 2"/>
    <w:basedOn w:val="Normln"/>
    <w:next w:val="Normln"/>
    <w:autoRedefine/>
    <w:semiHidden/>
    <w:pPr>
      <w:tabs>
        <w:tab w:val="right" w:leader="dot" w:pos="9071"/>
      </w:tabs>
      <w:spacing w:before="60" w:after="0"/>
      <w:ind w:left="227"/>
    </w:pPr>
    <w:rPr>
      <w:rFonts w:ascii="Arial" w:hAnsi="Arial" w:cs="Arial"/>
      <w:sz w:val="16"/>
      <w:szCs w:val="16"/>
    </w:rPr>
  </w:style>
  <w:style w:type="paragraph" w:styleId="Obsah3">
    <w:name w:val="toc 3"/>
    <w:basedOn w:val="Normln"/>
    <w:next w:val="Normln"/>
    <w:autoRedefine/>
    <w:semiHidden/>
    <w:pPr>
      <w:tabs>
        <w:tab w:val="right" w:leader="dot" w:pos="9071"/>
      </w:tabs>
      <w:spacing w:before="120" w:after="0"/>
      <w:ind w:left="624"/>
    </w:pPr>
    <w:rPr>
      <w:rFonts w:ascii="Arial" w:hAnsi="Arial" w:cs="Arial"/>
      <w:i/>
      <w:iCs/>
      <w:sz w:val="20"/>
      <w:szCs w:val="20"/>
    </w:rPr>
  </w:style>
  <w:style w:type="paragraph" w:styleId="Obsah4">
    <w:name w:val="toc 4"/>
    <w:basedOn w:val="Normln"/>
    <w:next w:val="Normln"/>
    <w:autoRedefine/>
    <w:semiHidden/>
    <w:pPr>
      <w:widowControl w:val="0"/>
      <w:tabs>
        <w:tab w:val="right" w:leader="dot" w:pos="8783"/>
      </w:tabs>
      <w:spacing w:before="60"/>
      <w:ind w:left="1106"/>
      <w:jc w:val="both"/>
    </w:pPr>
    <w:rPr>
      <w:sz w:val="16"/>
      <w:szCs w:val="16"/>
    </w:rPr>
  </w:style>
  <w:style w:type="paragraph" w:styleId="Seznamsodrkami2">
    <w:name w:val="List Bullet 2"/>
    <w:basedOn w:val="Normln"/>
    <w:autoRedefine/>
    <w:pPr>
      <w:spacing w:before="60" w:after="0"/>
      <w:ind w:left="992" w:hanging="283"/>
      <w:jc w:val="both"/>
    </w:pPr>
    <w:rPr>
      <w:rFonts w:ascii="Arial" w:hAnsi="Arial" w:cs="Arial"/>
      <w:sz w:val="24"/>
      <w:szCs w:val="24"/>
    </w:rPr>
  </w:style>
  <w:style w:type="paragraph" w:customStyle="1" w:styleId="Veetpoloek">
    <w:name w:val="Výeet položek"/>
    <w:basedOn w:val="Normln"/>
    <w:pPr>
      <w:spacing w:before="60"/>
      <w:ind w:left="993" w:hanging="283"/>
    </w:pPr>
    <w:rPr>
      <w:rFonts w:ascii="Arial" w:hAnsi="Arial" w:cs="Arial"/>
      <w:sz w:val="16"/>
      <w:szCs w:val="16"/>
    </w:rPr>
  </w:style>
  <w:style w:type="paragraph" w:customStyle="1" w:styleId="Odrka">
    <w:name w:val="Odrážka"/>
    <w:basedOn w:val="Normln"/>
    <w:pPr>
      <w:tabs>
        <w:tab w:val="left" w:pos="302"/>
        <w:tab w:val="right" w:pos="8392"/>
      </w:tabs>
      <w:spacing w:after="72"/>
      <w:ind w:left="301" w:hanging="301"/>
      <w:jc w:val="both"/>
    </w:pPr>
  </w:style>
  <w:style w:type="paragraph" w:styleId="Zkladntextodsazen">
    <w:name w:val="Body Text Indent"/>
    <w:basedOn w:val="Normln"/>
    <w:pPr>
      <w:spacing w:after="0"/>
      <w:ind w:left="705"/>
      <w:jc w:val="both"/>
    </w:pPr>
    <w:rPr>
      <w:rFonts w:ascii="Arial" w:hAnsi="Arial" w:cs="Arial"/>
      <w:b/>
      <w:bCs/>
    </w:rPr>
  </w:style>
  <w:style w:type="paragraph" w:styleId="Textvbloku">
    <w:name w:val="Block Text"/>
    <w:basedOn w:val="Normln"/>
    <w:pPr>
      <w:ind w:left="2880" w:right="424" w:hanging="2880"/>
    </w:pPr>
  </w:style>
  <w:style w:type="character" w:customStyle="1" w:styleId="Hypertextovodkaz1">
    <w:name w:val="Hypertextový odkaz1"/>
    <w:rPr>
      <w:color w:val="0000FF"/>
      <w:u w:val="single"/>
    </w:rPr>
  </w:style>
  <w:style w:type="character" w:customStyle="1" w:styleId="ZhlavChar">
    <w:name w:val="Záhlaví Char"/>
    <w:link w:val="Zhlav"/>
    <w:semiHidden/>
    <w:locked/>
    <w:rsid w:val="00C17B4E"/>
    <w:rPr>
      <w:sz w:val="22"/>
      <w:szCs w:val="22"/>
      <w:lang w:val="cs-CZ" w:eastAsia="cs-CZ" w:bidi="ar-SA"/>
    </w:rPr>
  </w:style>
  <w:style w:type="character" w:customStyle="1" w:styleId="platne">
    <w:name w:val="platne"/>
    <w:basedOn w:val="Standardnpsmoodstavce"/>
    <w:rsid w:val="00C17B4E"/>
  </w:style>
  <w:style w:type="character" w:customStyle="1" w:styleId="quote1">
    <w:name w:val="quote1"/>
    <w:basedOn w:val="Standardnpsmoodstavce"/>
    <w:rsid w:val="00C17B4E"/>
  </w:style>
  <w:style w:type="character" w:styleId="Odkaznakoment">
    <w:name w:val="annotation reference"/>
    <w:basedOn w:val="Standardnpsmoodstavce"/>
    <w:rsid w:val="004A42F6"/>
    <w:rPr>
      <w:sz w:val="16"/>
      <w:szCs w:val="16"/>
    </w:rPr>
  </w:style>
  <w:style w:type="paragraph" w:styleId="Textkomente">
    <w:name w:val="annotation text"/>
    <w:basedOn w:val="Normln"/>
    <w:link w:val="TextkomenteChar"/>
    <w:rsid w:val="004A42F6"/>
    <w:rPr>
      <w:sz w:val="20"/>
      <w:szCs w:val="20"/>
    </w:rPr>
  </w:style>
  <w:style w:type="character" w:customStyle="1" w:styleId="TextkomenteChar">
    <w:name w:val="Text komentáře Char"/>
    <w:basedOn w:val="Standardnpsmoodstavce"/>
    <w:link w:val="Textkomente"/>
    <w:rsid w:val="004A42F6"/>
  </w:style>
  <w:style w:type="paragraph" w:styleId="Pedmtkomente">
    <w:name w:val="annotation subject"/>
    <w:basedOn w:val="Textkomente"/>
    <w:next w:val="Textkomente"/>
    <w:link w:val="PedmtkomenteChar"/>
    <w:rsid w:val="004A42F6"/>
    <w:rPr>
      <w:b/>
      <w:bCs/>
    </w:rPr>
  </w:style>
  <w:style w:type="character" w:customStyle="1" w:styleId="PedmtkomenteChar">
    <w:name w:val="Předmět komentáře Char"/>
    <w:basedOn w:val="TextkomenteChar"/>
    <w:link w:val="Pedmtkomente"/>
    <w:rsid w:val="004A42F6"/>
    <w:rPr>
      <w:b/>
      <w:bCs/>
    </w:rPr>
  </w:style>
  <w:style w:type="paragraph" w:styleId="Textbubliny">
    <w:name w:val="Balloon Text"/>
    <w:basedOn w:val="Normln"/>
    <w:link w:val="TextbublinyChar"/>
    <w:rsid w:val="004A42F6"/>
    <w:pPr>
      <w:spacing w:after="0"/>
    </w:pPr>
    <w:rPr>
      <w:rFonts w:ascii="Segoe UI" w:hAnsi="Segoe UI" w:cs="Segoe UI"/>
      <w:sz w:val="18"/>
      <w:szCs w:val="18"/>
    </w:rPr>
  </w:style>
  <w:style w:type="character" w:customStyle="1" w:styleId="TextbublinyChar">
    <w:name w:val="Text bubliny Char"/>
    <w:basedOn w:val="Standardnpsmoodstavce"/>
    <w:link w:val="Textbubliny"/>
    <w:rsid w:val="004A42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5ec7832de654d0ebcbe5c80e0297f73 xmlns="82264717-bfb5-4834-a6b9-37340bc34ba2">
      <Terms xmlns="http://schemas.microsoft.com/office/infopath/2007/PartnerControls"/>
    </b5ec7832de654d0ebcbe5c80e0297f73>
    <TaxCatchAll xmlns="82264717-bfb5-4834-a6b9-37340bc34ba2"/>
    <AverageRating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kument" ma:contentTypeID="0x0101001B88362ABAAA3144AF6C429CEB72ED0F00B4376815C0675443BD4FB5B88A274EC6" ma:contentTypeVersion="5" ma:contentTypeDescription="" ma:contentTypeScope="" ma:versionID="600e21f789104e5f1b3a8848e53089f5">
  <xsd:schema xmlns:xsd="http://www.w3.org/2001/XMLSchema" xmlns:xs="http://www.w3.org/2001/XMLSchema" xmlns:p="http://schemas.microsoft.com/office/2006/metadata/properties" xmlns:ns1="http://schemas.microsoft.com/sharepoint/v3" xmlns:ns2="82264717-bfb5-4834-a6b9-37340bc34ba2" targetNamespace="http://schemas.microsoft.com/office/2006/metadata/properties" ma:root="true" ma:fieldsID="0ff7e1b209285c519c7839898e7b9722" ns1:_="" ns2:_="">
    <xsd:import namespace="http://schemas.microsoft.com/sharepoint/v3"/>
    <xsd:import namespace="82264717-bfb5-4834-a6b9-37340bc34ba2"/>
    <xsd:element name="properties">
      <xsd:complexType>
        <xsd:sequence>
          <xsd:element name="documentManagement">
            <xsd:complexType>
              <xsd:all>
                <xsd:element ref="ns1:AverageRating" minOccurs="0"/>
                <xsd:element ref="ns1:RatingCount" minOccurs="0"/>
                <xsd:element ref="ns2:_dlc_DocId" minOccurs="0"/>
                <xsd:element ref="ns2:_dlc_DocIdUrl" minOccurs="0"/>
                <xsd:element ref="ns2:_dlc_DocIdPersistId" minOccurs="0"/>
                <xsd:element ref="ns2:b5ec7832de654d0ebcbe5c80e0297f73"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3" nillable="true" ma:displayName="Hodnocení (0–5)" ma:decimals="2" ma:description="Průměrná hodnota všech odeslaných hodnocení" ma:indexed="true" ma:internalName="AverageRating" ma:readOnly="true">
      <xsd:simpleType>
        <xsd:restriction base="dms:Number"/>
      </xsd:simpleType>
    </xsd:element>
    <xsd:element name="RatingCount" ma:index="4" nillable="true" ma:displayName="Počet hodnocení" ma:decimals="0" ma:description="Počet odeslaných hodnoc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264717-bfb5-4834-a6b9-37340bc34ba2"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5ec7832de654d0ebcbe5c80e0297f73" ma:index="13" nillable="true" ma:taxonomy="true" ma:internalName="b5ec7832de654d0ebcbe5c80e0297f73" ma:taxonomyFieldName="DocsCategory" ma:displayName="Kategorie dokumentu" ma:readOnly="false" ma:default="" ma:fieldId="{b5ec7832-de65-4d0e-bcbe-5c80e0297f73}" ma:taxonomyMulti="true" ma:sspId="13195e82-a7ec-4b0c-a3e0-c9b8580c57e9" ma:termSetId="aaa34968-6034-4585-8fa0-dca134009ee6" ma:anchorId="00000000-0000-0000-0000-000000000000" ma:open="true" ma:isKeyword="false">
      <xsd:complexType>
        <xsd:sequence>
          <xsd:element ref="pc:Terms" minOccurs="0" maxOccurs="1"/>
        </xsd:sequence>
      </xsd:complexType>
    </xsd:element>
    <xsd:element name="TaxCatchAll" ma:index="14" nillable="true" ma:displayName="Taxonomy Catch All Column" ma:hidden="true" ma:list="{36b4ba46-62ed-4525-99f1-1f599ca0e28b}" ma:internalName="TaxCatchAll" ma:showField="CatchAllData" ma:web="82264717-bfb5-4834-a6b9-37340bc34ba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6b4ba46-62ed-4525-99f1-1f599ca0e28b}" ma:internalName="TaxCatchAllLabel" ma:readOnly="true" ma:showField="CatchAllDataLabel" ma:web="82264717-bfb5-4834-a6b9-37340bc34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77C46-32C7-4D41-8F03-9D80E5618CFC}">
  <ds:schemaRefs>
    <ds:schemaRef ds:uri="http://schemas.microsoft.com/office/2006/metadata/properties"/>
    <ds:schemaRef ds:uri="http://schemas.microsoft.com/sharepoint/v3"/>
    <ds:schemaRef ds:uri="http://purl.org/dc/terms/"/>
    <ds:schemaRef ds:uri="http://schemas.openxmlformats.org/package/2006/metadata/core-properties"/>
    <ds:schemaRef ds:uri="82264717-bfb5-4834-a6b9-37340bc34ba2"/>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FA0513F-73C8-4631-B353-E89A06F4DB70}">
  <ds:schemaRefs>
    <ds:schemaRef ds:uri="http://schemas.microsoft.com/sharepoint/v3/contenttype/forms"/>
  </ds:schemaRefs>
</ds:datastoreItem>
</file>

<file path=customXml/itemProps3.xml><?xml version="1.0" encoding="utf-8"?>
<ds:datastoreItem xmlns:ds="http://schemas.openxmlformats.org/officeDocument/2006/customXml" ds:itemID="{0FAD3358-0749-4790-9C6E-0B11BCA49D52}">
  <ds:schemaRefs>
    <ds:schemaRef ds:uri="http://schemas.microsoft.com/sharepoint/events"/>
  </ds:schemaRefs>
</ds:datastoreItem>
</file>

<file path=customXml/itemProps4.xml><?xml version="1.0" encoding="utf-8"?>
<ds:datastoreItem xmlns:ds="http://schemas.openxmlformats.org/officeDocument/2006/customXml" ds:itemID="{B23B7BB9-49CD-45C6-845D-53A5EBBE8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64717-bfb5-4834-a6b9-37340bc34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666AD2-8492-49A7-B6AB-FE2A8D464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1062</Words>
  <Characters>5440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ORN1</vt:lpstr>
    </vt:vector>
  </TitlesOfParts>
  <Company>CHEMOPETROL, a.s. Litvínov</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ORN1</dc:title>
  <dc:creator>Kordinová Barbora</dc:creator>
  <cp:lastModifiedBy>Derahová Soňa (UNP-RPA)</cp:lastModifiedBy>
  <cp:revision>4</cp:revision>
  <cp:lastPrinted>2006-04-24T08:47:00Z</cp:lastPrinted>
  <dcterms:created xsi:type="dcterms:W3CDTF">2025-09-29T09:56:00Z</dcterms:created>
  <dcterms:modified xsi:type="dcterms:W3CDTF">2025-09-29T09:57:00Z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0x0101001B88362ABAAA3144AF6C429CEB72ED0F00B4376815C0675443BD4FB5B88A274EC6</vt:lpwstr>
  </property>
  <property fmtid="{D5CDD505-2E9C-101B-9397-08002B2CF9AE}" pid="3" name="DocsCategory">
    <vt:lpwstr/>
  </property>
</Properties>
</file>